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1E5FD81"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701C17">
        <w:rPr>
          <w:rFonts w:ascii="Arial" w:hAnsi="Arial" w:cs="Arial"/>
          <w:sz w:val="24"/>
          <w:szCs w:val="28"/>
          <w:lang w:val="en-CA"/>
        </w:rPr>
        <w:t>1525</w:t>
      </w:r>
    </w:p>
    <w:p w14:paraId="4F58942D" w14:textId="2AC0181D" w:rsidR="00D80957" w:rsidRPr="00457F73" w:rsidRDefault="00347CC4"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Greece</w:t>
      </w:r>
      <w:r w:rsidR="00A2225E">
        <w:rPr>
          <w:rFonts w:ascii="Arial" w:hAnsi="Arial" w:cs="Arial"/>
          <w:sz w:val="24"/>
          <w:szCs w:val="28"/>
          <w:lang w:val="en-CA"/>
        </w:rPr>
        <w:t xml:space="preserve">, </w:t>
      </w:r>
      <w:r>
        <w:rPr>
          <w:rFonts w:ascii="Arial" w:hAnsi="Arial" w:cs="Arial"/>
          <w:sz w:val="24"/>
          <w:szCs w:val="28"/>
          <w:lang w:val="en-CA"/>
        </w:rPr>
        <w:t>February</w:t>
      </w:r>
      <w:r w:rsidR="00DF79AF">
        <w:rPr>
          <w:rFonts w:ascii="Arial" w:hAnsi="Arial" w:cs="Arial"/>
          <w:sz w:val="24"/>
          <w:szCs w:val="28"/>
          <w:lang w:val="en-CA"/>
        </w:rPr>
        <w:t xml:space="preserve"> </w:t>
      </w:r>
      <w:r>
        <w:rPr>
          <w:rFonts w:ascii="Arial" w:hAnsi="Arial" w:cs="Arial"/>
          <w:sz w:val="24"/>
          <w:szCs w:val="28"/>
          <w:lang w:val="en-CA"/>
        </w:rPr>
        <w:t>25</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March 1, 2019</w:t>
      </w:r>
    </w:p>
    <w:p w14:paraId="14395BAA" w14:textId="2CE24B83"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436C18">
        <w:rPr>
          <w:rFonts w:ascii="Arial" w:hAnsi="Arial" w:cs="Arial"/>
          <w:sz w:val="22"/>
          <w:szCs w:val="22"/>
          <w:lang w:val="en-US"/>
        </w:rPr>
        <w:t>6.12.7.6</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001E62B"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0843">
        <w:rPr>
          <w:rFonts w:ascii="Arial" w:hAnsi="Arial" w:cs="Arial"/>
          <w:sz w:val="22"/>
          <w:szCs w:val="22"/>
          <w:lang w:val="en-CA"/>
        </w:rPr>
        <w:t xml:space="preserve">TCI state </w:t>
      </w:r>
      <w:r w:rsidR="00DC59F9">
        <w:rPr>
          <w:rFonts w:ascii="Arial" w:hAnsi="Arial" w:cs="Arial"/>
          <w:sz w:val="22"/>
          <w:szCs w:val="22"/>
          <w:lang w:val="en-CA"/>
        </w:rPr>
        <w:t>switching</w:t>
      </w:r>
      <w:bookmarkStart w:id="1" w:name="_GoBack"/>
      <w:bookmarkEnd w:id="1"/>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0339E96B" w14:textId="212750D8" w:rsidR="00442699" w:rsidRPr="00A9109C" w:rsidRDefault="007539A3" w:rsidP="00C8654F">
      <w:pPr>
        <w:jc w:val="both"/>
        <w:rPr>
          <w:rFonts w:asciiTheme="minorHAnsi" w:hAnsiTheme="minorHAnsi" w:cstheme="minorHAnsi"/>
          <w:sz w:val="22"/>
          <w:lang w:val="en-CA"/>
        </w:rPr>
      </w:pPr>
      <w:r w:rsidRPr="007539A3">
        <w:rPr>
          <w:rFonts w:asciiTheme="minorHAnsi" w:hAnsiTheme="minorHAnsi" w:cstheme="minorHAnsi"/>
          <w:sz w:val="22"/>
          <w:lang w:val="en-CA"/>
        </w:rPr>
        <w:t xml:space="preserve">Open items regarding </w:t>
      </w:r>
      <w:r>
        <w:rPr>
          <w:rFonts w:asciiTheme="minorHAnsi" w:hAnsiTheme="minorHAnsi" w:cstheme="minorHAnsi"/>
          <w:sz w:val="22"/>
          <w:lang w:val="en-CA"/>
        </w:rPr>
        <w:t xml:space="preserve">TCI state switching were brought up </w:t>
      </w:r>
      <w:r w:rsidR="00442699" w:rsidRPr="007539A3">
        <w:rPr>
          <w:rFonts w:asciiTheme="minorHAnsi" w:hAnsiTheme="minorHAnsi" w:cstheme="minorHAnsi"/>
          <w:sz w:val="22"/>
          <w:lang w:val="en-CA"/>
        </w:rPr>
        <w:t>at the RAN4#89 meeting</w:t>
      </w:r>
      <w:r>
        <w:rPr>
          <w:rFonts w:asciiTheme="minorHAnsi" w:hAnsiTheme="minorHAnsi" w:cstheme="minorHAnsi"/>
          <w:sz w:val="22"/>
          <w:lang w:val="en-CA"/>
        </w:rPr>
        <w:t xml:space="preserve">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_Ref1136697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sidR="00D0145B" w:rsidRPr="007539A3">
        <w:rPr>
          <w:rFonts w:asciiTheme="minorHAnsi" w:hAnsiTheme="minorHAnsi" w:cstheme="minorHAnsi"/>
          <w:sz w:val="22"/>
          <w:lang w:val="en-CA"/>
        </w:rPr>
        <w:t>, and a way</w:t>
      </w:r>
      <w:r>
        <w:rPr>
          <w:rFonts w:asciiTheme="minorHAnsi" w:hAnsiTheme="minorHAnsi" w:cstheme="minorHAnsi"/>
          <w:sz w:val="22"/>
          <w:lang w:val="en-CA"/>
        </w:rPr>
        <w:t xml:space="preserve"> forward</w:t>
      </w:r>
      <w:r w:rsidR="00D0145B" w:rsidRPr="007539A3">
        <w:rPr>
          <w:rFonts w:asciiTheme="minorHAnsi" w:hAnsiTheme="minorHAnsi" w:cstheme="minorHAnsi"/>
          <w:sz w:val="22"/>
          <w:lang w:val="en-CA"/>
        </w:rPr>
        <w:t xml:space="preserve">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_Ref1136721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[2]</w:t>
      </w:r>
      <w:r>
        <w:rPr>
          <w:rFonts w:asciiTheme="minorHAnsi" w:hAnsiTheme="minorHAnsi" w:cstheme="minorHAnsi"/>
          <w:sz w:val="22"/>
          <w:lang w:val="en-CA"/>
        </w:rPr>
        <w:fldChar w:fldCharType="end"/>
      </w:r>
      <w:r>
        <w:rPr>
          <w:rFonts w:asciiTheme="minorHAnsi" w:hAnsiTheme="minorHAnsi" w:cstheme="minorHAnsi"/>
          <w:sz w:val="22"/>
          <w:lang w:val="en-CA"/>
        </w:rPr>
        <w:t xml:space="preserve"> listing the following w</w:t>
      </w:r>
      <w:r w:rsidR="00442699" w:rsidRPr="007539A3">
        <w:rPr>
          <w:rFonts w:asciiTheme="minorHAnsi" w:hAnsiTheme="minorHAnsi" w:cstheme="minorHAnsi"/>
          <w:sz w:val="22"/>
          <w:lang w:val="en-CA"/>
        </w:rPr>
        <w:t>as agreed</w:t>
      </w:r>
      <w:r>
        <w:rPr>
          <w:rFonts w:asciiTheme="minorHAnsi" w:hAnsiTheme="minorHAnsi" w:cstheme="minorHAnsi"/>
          <w:sz w:val="22"/>
          <w:lang w:val="en-CA"/>
        </w:rPr>
        <w:t>:</w:t>
      </w:r>
    </w:p>
    <w:p w14:paraId="01835D7C" w14:textId="4557D89E" w:rsidR="00442699" w:rsidRDefault="00BB65D8" w:rsidP="00C8654F">
      <w:pPr>
        <w:jc w:val="both"/>
        <w:rPr>
          <w:sz w:val="22"/>
          <w:lang w:val="en-CA"/>
        </w:rPr>
      </w:pPr>
      <w:r w:rsidRPr="00442699">
        <w:rPr>
          <w:noProof/>
          <w:sz w:val="22"/>
          <w:lang w:val="en-CA"/>
        </w:rPr>
        <mc:AlternateContent>
          <mc:Choice Requires="wps">
            <w:drawing>
              <wp:anchor distT="45720" distB="45720" distL="114300" distR="114300" simplePos="0" relativeHeight="251659264" behindDoc="0" locked="0" layoutInCell="1" allowOverlap="1" wp14:anchorId="25A184F8" wp14:editId="2236D36C">
                <wp:simplePos x="0" y="0"/>
                <wp:positionH relativeFrom="column">
                  <wp:posOffset>499110</wp:posOffset>
                </wp:positionH>
                <wp:positionV relativeFrom="paragraph">
                  <wp:posOffset>85090</wp:posOffset>
                </wp:positionV>
                <wp:extent cx="5248275" cy="1371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1371600"/>
                        </a:xfrm>
                        <a:prstGeom prst="rect">
                          <a:avLst/>
                        </a:prstGeom>
                        <a:solidFill>
                          <a:srgbClr val="FFFFFF"/>
                        </a:solidFill>
                        <a:ln w="9525">
                          <a:solidFill>
                            <a:srgbClr val="000000"/>
                          </a:solidFill>
                          <a:miter lim="800000"/>
                          <a:headEnd/>
                          <a:tailEnd/>
                        </a:ln>
                      </wps:spPr>
                      <wps:txbx>
                        <w:txbxContent>
                          <w:p w14:paraId="78D81D1E" w14:textId="77777777" w:rsidR="00250C63" w:rsidRPr="00250C63" w:rsidRDefault="00250C63" w:rsidP="00250C63">
                            <w:pPr>
                              <w:pStyle w:val="ListParagraph"/>
                              <w:numPr>
                                <w:ilvl w:val="0"/>
                                <w:numId w:val="15"/>
                              </w:numPr>
                              <w:spacing w:after="0" w:line="216" w:lineRule="auto"/>
                              <w:rPr>
                                <w:rFonts w:eastAsia="Times New Roman"/>
                                <w:sz w:val="22"/>
                                <w:szCs w:val="24"/>
                                <w:lang w:val="en-US" w:eastAsia="sv-SE"/>
                              </w:rPr>
                            </w:pPr>
                            <w:r w:rsidRPr="00250C63">
                              <w:rPr>
                                <w:rFonts w:ascii="Calibri" w:eastAsia="+mn-ea" w:hAnsi="Calibri" w:cs="+mn-cs"/>
                                <w:color w:val="000000"/>
                                <w:kern w:val="24"/>
                                <w:sz w:val="22"/>
                                <w:szCs w:val="48"/>
                                <w:lang w:val="en-US" w:eastAsia="sv-SE"/>
                              </w:rPr>
                              <w:t>gNodeB can indicate the UE to switch its active TCI state</w:t>
                            </w:r>
                          </w:p>
                          <w:p w14:paraId="15E1FDF3" w14:textId="77777777" w:rsidR="00250C63" w:rsidRPr="00250C63" w:rsidRDefault="00250C63" w:rsidP="00250C63">
                            <w:pPr>
                              <w:pStyle w:val="ListParagraph"/>
                              <w:numPr>
                                <w:ilvl w:val="1"/>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Both the old and new active TCI states will be from the set of RRC configured TCI states</w:t>
                            </w:r>
                          </w:p>
                          <w:p w14:paraId="19D820AE" w14:textId="77777777" w:rsidR="00250C63" w:rsidRPr="00250C63" w:rsidRDefault="00250C63" w:rsidP="00250C63">
                            <w:pPr>
                              <w:pStyle w:val="ListParagraph"/>
                              <w:numPr>
                                <w:ilvl w:val="1"/>
                                <w:numId w:val="15"/>
                              </w:numPr>
                              <w:spacing w:after="0" w:line="216" w:lineRule="auto"/>
                              <w:rPr>
                                <w:rFonts w:eastAsia="Times New Roman"/>
                                <w:sz w:val="22"/>
                                <w:szCs w:val="22"/>
                                <w:lang w:val="sv-SE" w:eastAsia="sv-SE"/>
                              </w:rPr>
                            </w:pPr>
                            <w:r w:rsidRPr="00250C63">
                              <w:rPr>
                                <w:rFonts w:ascii="Calibri" w:eastAsia="+mn-ea" w:hAnsi="Calibri" w:cs="+mn-cs"/>
                                <w:color w:val="000000"/>
                                <w:kern w:val="24"/>
                                <w:sz w:val="22"/>
                                <w:szCs w:val="22"/>
                                <w:lang w:val="en-US" w:eastAsia="sv-SE"/>
                              </w:rPr>
                              <w:t>Open items</w:t>
                            </w:r>
                          </w:p>
                          <w:p w14:paraId="136A7F0B" w14:textId="77777777" w:rsidR="00250C63" w:rsidRPr="00250C63" w:rsidRDefault="00250C63" w:rsidP="00250C63">
                            <w:pPr>
                              <w:pStyle w:val="ListParagraph"/>
                              <w:numPr>
                                <w:ilvl w:val="2"/>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Define delays associated with an active TCI state switch</w:t>
                            </w:r>
                          </w:p>
                          <w:p w14:paraId="77987593" w14:textId="77777777" w:rsidR="00250C63" w:rsidRPr="00250C63" w:rsidRDefault="00250C63" w:rsidP="00250C63">
                            <w:pPr>
                              <w:pStyle w:val="ListParagraph"/>
                              <w:numPr>
                                <w:ilvl w:val="2"/>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Are interruptions needed on other active cells</w:t>
                            </w:r>
                          </w:p>
                          <w:p w14:paraId="75F23AA1" w14:textId="3994D631" w:rsidR="00442699" w:rsidRPr="00250C63" w:rsidRDefault="00250C63" w:rsidP="00250C63">
                            <w:pPr>
                              <w:pStyle w:val="ListParagraph"/>
                              <w:numPr>
                                <w:ilvl w:val="3"/>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If needed, duration of these interruptions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A184F8" id="_x0000_t202" coordsize="21600,21600" o:spt="202" path="m,l,21600r21600,l21600,xe">
                <v:stroke joinstyle="miter"/>
                <v:path gradientshapeok="t" o:connecttype="rect"/>
              </v:shapetype>
              <v:shape id="Text Box 2" o:spid="_x0000_s1026" type="#_x0000_t202" style="position:absolute;left:0;text-align:left;margin-left:39.3pt;margin-top:6.7pt;width:413.25pt;height:1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dLUJQIAAEcEAAAOAAAAZHJzL2Uyb0RvYy54bWysU9tuGyEQfa/Uf0C813upHTsrr6PUqatK&#10;6UVK+gGYZb2owFDA3nW/PgPruFbavlTlATHMcJg5Z2Z5M2hFDsJ5CaamxSSnRBgOjTS7mn573LxZ&#10;UOIDMw1TYERNj8LTm9XrV8veVqKEDlQjHEEQ46ve1rQLwVZZ5nknNPMTsMKgswWnWUDT7bLGsR7R&#10;tcrKPL/KenCNdcCF93h7NzrpKuG3reDhS9t6EYiqKeYW0u7Svo17tlqyaueY7SQ/pcH+IQvNpMFP&#10;z1B3LDCyd/I3KC25Aw9tmHDQGbSt5CLVgNUU+YtqHjpmRaoFyfH2TJP/f7D88+GrI7KpaVnMKTFM&#10;o0iPYgjkHQykjPz01lcY9mAxMAx4jTqnWr29B/7dEwPrjpmduHUO+k6wBvMr4svs4umI4yPItv8E&#10;DX7D9gES0NA6HclDOgiio07HszYxFY6Xs3K6KOczSjj6irfz4ipP6mWsen5unQ8fBGgSDzV1KH6C&#10;Z4d7H2I6rHoOib95ULLZSKWS4XbbtXLkwLBRNmmlCl6EKUP6ml7PytnIwF8h8rT+BKFlwI5XUtd0&#10;cQ5iVeTtvWlSPwYm1XjGlJU5ERm5G1kMw3Y4CbOF5oiUOhg7GycRDx24n5T02NU19T/2zAlK1EeD&#10;slwX02kcg2RMZ/MSDXfp2V56mOEIVdNAyXhchzQ6kTADtyhfKxOxUecxk1Ou2K2J79NkxXG4tFPU&#10;r/lfPQEAAP//AwBQSwMEFAAGAAgAAAAhACNTjJfgAAAACQEAAA8AAABkcnMvZG93bnJldi54bWxM&#10;j8FOwzAQRO9I/IO1SFwQdZqGNAlxKoQEojcoCK5u7CYR9jrYbhr+nuUEx9kZzbytN7M1bNI+DA4F&#10;LBcJMI2tUwN2At5eH64LYCFKVNI41AK+dYBNc35Wy0q5E77oaRc7RiUYKimgj3GsOA9tr60MCzdq&#10;JO/gvJWRpO+48vJE5dbwNElybuWAtNDLUd/3uv3cHa2AInuaPsJ29fze5gdTxqv19Pjlhbi8mO9u&#10;gUU9x78w/OITOjTEtHdHVIEZAesipyTdVxkw8svkZglsLyBNywx4U/P/HzQ/AAAA//8DAFBLAQIt&#10;ABQABgAIAAAAIQC2gziS/gAAAOEBAAATAAAAAAAAAAAAAAAAAAAAAABbQ29udGVudF9UeXBlc10u&#10;eG1sUEsBAi0AFAAGAAgAAAAhADj9If/WAAAAlAEAAAsAAAAAAAAAAAAAAAAALwEAAF9yZWxzLy5y&#10;ZWxzUEsBAi0AFAAGAAgAAAAhAHHx0tQlAgAARwQAAA4AAAAAAAAAAAAAAAAALgIAAGRycy9lMm9E&#10;b2MueG1sUEsBAi0AFAAGAAgAAAAhACNTjJfgAAAACQEAAA8AAAAAAAAAAAAAAAAAfwQAAGRycy9k&#10;b3ducmV2LnhtbFBLBQYAAAAABAAEAPMAAACMBQAAAAA=&#10;">
                <v:textbox>
                  <w:txbxContent>
                    <w:p w14:paraId="78D81D1E" w14:textId="77777777" w:rsidR="00250C63" w:rsidRPr="00250C63" w:rsidRDefault="00250C63" w:rsidP="00250C63">
                      <w:pPr>
                        <w:pStyle w:val="ListParagraph"/>
                        <w:numPr>
                          <w:ilvl w:val="0"/>
                          <w:numId w:val="15"/>
                        </w:numPr>
                        <w:spacing w:after="0" w:line="216" w:lineRule="auto"/>
                        <w:rPr>
                          <w:rFonts w:eastAsia="Times New Roman"/>
                          <w:sz w:val="22"/>
                          <w:szCs w:val="24"/>
                          <w:lang w:val="en-US" w:eastAsia="sv-SE"/>
                        </w:rPr>
                      </w:pPr>
                      <w:r w:rsidRPr="00250C63">
                        <w:rPr>
                          <w:rFonts w:ascii="Calibri" w:eastAsia="+mn-ea" w:hAnsi="Calibri" w:cs="+mn-cs"/>
                          <w:color w:val="000000"/>
                          <w:kern w:val="24"/>
                          <w:sz w:val="22"/>
                          <w:szCs w:val="48"/>
                          <w:lang w:val="en-US" w:eastAsia="sv-SE"/>
                        </w:rPr>
                        <w:t>gNodeB can indicate the UE to switch its active TCI state</w:t>
                      </w:r>
                    </w:p>
                    <w:p w14:paraId="15E1FDF3" w14:textId="77777777" w:rsidR="00250C63" w:rsidRPr="00250C63" w:rsidRDefault="00250C63" w:rsidP="00250C63">
                      <w:pPr>
                        <w:pStyle w:val="ListParagraph"/>
                        <w:numPr>
                          <w:ilvl w:val="1"/>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Both the old and new active TCI states will be from the set of RRC configured TCI states</w:t>
                      </w:r>
                    </w:p>
                    <w:p w14:paraId="19D820AE" w14:textId="77777777" w:rsidR="00250C63" w:rsidRPr="00250C63" w:rsidRDefault="00250C63" w:rsidP="00250C63">
                      <w:pPr>
                        <w:pStyle w:val="ListParagraph"/>
                        <w:numPr>
                          <w:ilvl w:val="1"/>
                          <w:numId w:val="15"/>
                        </w:numPr>
                        <w:spacing w:after="0" w:line="216" w:lineRule="auto"/>
                        <w:rPr>
                          <w:rFonts w:eastAsia="Times New Roman"/>
                          <w:sz w:val="22"/>
                          <w:szCs w:val="22"/>
                          <w:lang w:val="sv-SE" w:eastAsia="sv-SE"/>
                        </w:rPr>
                      </w:pPr>
                      <w:r w:rsidRPr="00250C63">
                        <w:rPr>
                          <w:rFonts w:ascii="Calibri" w:eastAsia="+mn-ea" w:hAnsi="Calibri" w:cs="+mn-cs"/>
                          <w:color w:val="000000"/>
                          <w:kern w:val="24"/>
                          <w:sz w:val="22"/>
                          <w:szCs w:val="22"/>
                          <w:lang w:val="en-US" w:eastAsia="sv-SE"/>
                        </w:rPr>
                        <w:t>Open items</w:t>
                      </w:r>
                    </w:p>
                    <w:p w14:paraId="136A7F0B" w14:textId="77777777" w:rsidR="00250C63" w:rsidRPr="00250C63" w:rsidRDefault="00250C63" w:rsidP="00250C63">
                      <w:pPr>
                        <w:pStyle w:val="ListParagraph"/>
                        <w:numPr>
                          <w:ilvl w:val="2"/>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Define delays associated with an active TCI state switch</w:t>
                      </w:r>
                    </w:p>
                    <w:p w14:paraId="77987593" w14:textId="77777777" w:rsidR="00250C63" w:rsidRPr="00250C63" w:rsidRDefault="00250C63" w:rsidP="00250C63">
                      <w:pPr>
                        <w:pStyle w:val="ListParagraph"/>
                        <w:numPr>
                          <w:ilvl w:val="2"/>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Are interruptions needed on other active cells</w:t>
                      </w:r>
                    </w:p>
                    <w:p w14:paraId="75F23AA1" w14:textId="3994D631" w:rsidR="00442699" w:rsidRPr="00250C63" w:rsidRDefault="00250C63" w:rsidP="00250C63">
                      <w:pPr>
                        <w:pStyle w:val="ListParagraph"/>
                        <w:numPr>
                          <w:ilvl w:val="3"/>
                          <w:numId w:val="15"/>
                        </w:numPr>
                        <w:spacing w:after="0" w:line="216" w:lineRule="auto"/>
                        <w:rPr>
                          <w:rFonts w:eastAsia="Times New Roman"/>
                          <w:sz w:val="22"/>
                          <w:szCs w:val="22"/>
                          <w:lang w:val="en-US" w:eastAsia="sv-SE"/>
                        </w:rPr>
                      </w:pPr>
                      <w:r w:rsidRPr="00250C63">
                        <w:rPr>
                          <w:rFonts w:ascii="Calibri" w:eastAsia="+mn-ea" w:hAnsi="Calibri" w:cs="+mn-cs"/>
                          <w:color w:val="000000"/>
                          <w:kern w:val="24"/>
                          <w:sz w:val="22"/>
                          <w:szCs w:val="22"/>
                          <w:lang w:val="en-US" w:eastAsia="sv-SE"/>
                        </w:rPr>
                        <w:t>If needed, duration of these interruptions</w:t>
                      </w:r>
                    </w:p>
                  </w:txbxContent>
                </v:textbox>
                <w10:wrap type="square"/>
              </v:shape>
            </w:pict>
          </mc:Fallback>
        </mc:AlternateContent>
      </w:r>
    </w:p>
    <w:p w14:paraId="2AFABC56" w14:textId="73D4CA0A" w:rsidR="00442699" w:rsidRDefault="00442699" w:rsidP="00C8654F">
      <w:pPr>
        <w:jc w:val="both"/>
        <w:rPr>
          <w:sz w:val="22"/>
          <w:lang w:val="en-CA"/>
        </w:rPr>
      </w:pPr>
    </w:p>
    <w:p w14:paraId="60574375" w14:textId="0EC3C509" w:rsidR="00442699" w:rsidRDefault="00442699" w:rsidP="00C8654F">
      <w:pPr>
        <w:jc w:val="both"/>
        <w:rPr>
          <w:sz w:val="22"/>
          <w:lang w:val="en-CA"/>
        </w:rPr>
      </w:pPr>
    </w:p>
    <w:p w14:paraId="076AA278" w14:textId="20E791EA" w:rsidR="00442699" w:rsidRDefault="00442699" w:rsidP="00C8654F">
      <w:pPr>
        <w:jc w:val="both"/>
        <w:rPr>
          <w:sz w:val="22"/>
          <w:lang w:val="en-CA"/>
        </w:rPr>
      </w:pPr>
    </w:p>
    <w:p w14:paraId="6ED579F3" w14:textId="0EB4451C" w:rsidR="00442699" w:rsidRDefault="00442699" w:rsidP="00C8654F">
      <w:pPr>
        <w:jc w:val="both"/>
        <w:rPr>
          <w:sz w:val="22"/>
          <w:lang w:val="en-CA"/>
        </w:rPr>
      </w:pPr>
    </w:p>
    <w:p w14:paraId="2A7CE570" w14:textId="77777777" w:rsidR="00250C63" w:rsidRDefault="00250C63" w:rsidP="00C8654F">
      <w:pPr>
        <w:jc w:val="both"/>
        <w:rPr>
          <w:sz w:val="22"/>
          <w:lang w:val="en-CA"/>
        </w:rPr>
      </w:pPr>
    </w:p>
    <w:p w14:paraId="361DB6F4" w14:textId="07D2F6AB" w:rsidR="00D0145B" w:rsidRPr="009F2012" w:rsidRDefault="007539A3" w:rsidP="00C8654F">
      <w:pPr>
        <w:jc w:val="both"/>
        <w:rPr>
          <w:rFonts w:asciiTheme="minorHAnsi" w:hAnsiTheme="minorHAnsi" w:cstheme="minorHAnsi"/>
          <w:sz w:val="22"/>
          <w:lang w:val="en-CA"/>
        </w:rPr>
      </w:pPr>
      <w:r w:rsidRPr="007539A3">
        <w:rPr>
          <w:rFonts w:asciiTheme="minorHAnsi" w:hAnsiTheme="minorHAnsi" w:cstheme="minorHAnsi"/>
          <w:sz w:val="22"/>
          <w:lang w:val="en-CA"/>
        </w:rPr>
        <w:t>In</w:t>
      </w:r>
      <w:r>
        <w:rPr>
          <w:rFonts w:asciiTheme="minorHAnsi" w:hAnsiTheme="minorHAnsi" w:cstheme="minorHAnsi"/>
          <w:sz w:val="22"/>
          <w:lang w:val="en-CA"/>
        </w:rPr>
        <w:t xml:space="preserve"> this contribution we provide some comments for the further discussion.</w:t>
      </w:r>
    </w:p>
    <w:p w14:paraId="4EBFB365" w14:textId="78A0B081" w:rsidR="00F13684" w:rsidRDefault="00FF6031" w:rsidP="00BD18BC">
      <w:pPr>
        <w:pStyle w:val="Heading1"/>
        <w:ind w:left="431" w:hanging="431"/>
        <w:rPr>
          <w:szCs w:val="36"/>
          <w:lang w:val="en-CA"/>
        </w:rPr>
      </w:pPr>
      <w:r>
        <w:rPr>
          <w:szCs w:val="36"/>
          <w:lang w:val="en-CA"/>
        </w:rPr>
        <w:t>Discussion</w:t>
      </w:r>
    </w:p>
    <w:p w14:paraId="1BAAB7D9" w14:textId="11DAC319" w:rsidR="007539A3" w:rsidRDefault="00472749" w:rsidP="00472749">
      <w:pPr>
        <w:rPr>
          <w:rFonts w:asciiTheme="minorHAnsi" w:hAnsiTheme="minorHAnsi" w:cstheme="minorHAnsi"/>
          <w:sz w:val="22"/>
          <w:szCs w:val="22"/>
          <w:lang w:val="en-CA"/>
        </w:rPr>
      </w:pPr>
      <w:r w:rsidRPr="00472749">
        <w:rPr>
          <w:rFonts w:asciiTheme="minorHAnsi" w:hAnsiTheme="minorHAnsi" w:cstheme="minorHAnsi"/>
          <w:sz w:val="22"/>
          <w:szCs w:val="22"/>
          <w:lang w:val="en-CA"/>
        </w:rPr>
        <w:t xml:space="preserve">TCI states </w:t>
      </w:r>
      <w:r>
        <w:rPr>
          <w:rFonts w:asciiTheme="minorHAnsi" w:hAnsiTheme="minorHAnsi" w:cstheme="minorHAnsi"/>
          <w:sz w:val="22"/>
          <w:szCs w:val="22"/>
          <w:lang w:val="en-CA"/>
        </w:rPr>
        <w:t xml:space="preserve">for PDSCH and PDCCH </w:t>
      </w:r>
      <w:r w:rsidRPr="00472749">
        <w:rPr>
          <w:rFonts w:asciiTheme="minorHAnsi" w:hAnsiTheme="minorHAnsi" w:cstheme="minorHAnsi"/>
          <w:sz w:val="22"/>
          <w:szCs w:val="22"/>
          <w:lang w:val="en-CA"/>
        </w:rPr>
        <w:t xml:space="preserve">are configured </w:t>
      </w:r>
      <w:r>
        <w:rPr>
          <w:rFonts w:asciiTheme="minorHAnsi" w:hAnsiTheme="minorHAnsi" w:cstheme="minorHAnsi"/>
          <w:sz w:val="22"/>
          <w:szCs w:val="22"/>
          <w:lang w:val="en-CA"/>
        </w:rPr>
        <w:t xml:space="preserve">via RRC signalling </w:t>
      </w:r>
      <w:r w:rsidR="007E1EFD">
        <w:rPr>
          <w:rFonts w:asciiTheme="minorHAnsi" w:hAnsiTheme="minorHAnsi" w:cstheme="minorHAnsi"/>
          <w:sz w:val="22"/>
          <w:szCs w:val="22"/>
          <w:lang w:val="en-CA"/>
        </w:rPr>
        <w:t>that</w:t>
      </w:r>
      <w:r>
        <w:rPr>
          <w:rFonts w:asciiTheme="minorHAnsi" w:hAnsiTheme="minorHAnsi" w:cstheme="minorHAnsi"/>
          <w:sz w:val="22"/>
          <w:szCs w:val="22"/>
          <w:lang w:val="en-CA"/>
        </w:rPr>
        <w:t xml:space="preserve"> allows addition/modification/release of provided configurations as identified by TCI state IDs. As long as currently active TCI states and to-be-activated TCI states are not changed, no interruptions shall follow from RRC re-configuration.</w:t>
      </w:r>
      <w:r w:rsidR="00B31EA9">
        <w:rPr>
          <w:rFonts w:asciiTheme="minorHAnsi" w:hAnsiTheme="minorHAnsi" w:cstheme="minorHAnsi"/>
          <w:sz w:val="22"/>
          <w:szCs w:val="22"/>
          <w:lang w:val="en-CA"/>
        </w:rPr>
        <w:t xml:space="preserve"> RRC re</w:t>
      </w:r>
      <w:r w:rsidR="001B1CCF">
        <w:rPr>
          <w:rFonts w:asciiTheme="minorHAnsi" w:hAnsiTheme="minorHAnsi" w:cstheme="minorHAnsi"/>
          <w:sz w:val="22"/>
          <w:szCs w:val="22"/>
          <w:lang w:val="en-CA"/>
        </w:rPr>
        <w:t>-</w:t>
      </w:r>
      <w:r w:rsidR="00B31EA9">
        <w:rPr>
          <w:rFonts w:asciiTheme="minorHAnsi" w:hAnsiTheme="minorHAnsi" w:cstheme="minorHAnsi"/>
          <w:sz w:val="22"/>
          <w:szCs w:val="22"/>
          <w:lang w:val="en-CA"/>
        </w:rPr>
        <w:t xml:space="preserve">configuration of an active TCI state </w:t>
      </w:r>
      <w:r w:rsidR="001B1CCF">
        <w:rPr>
          <w:rFonts w:asciiTheme="minorHAnsi" w:hAnsiTheme="minorHAnsi" w:cstheme="minorHAnsi"/>
          <w:sz w:val="22"/>
          <w:szCs w:val="22"/>
          <w:lang w:val="en-CA"/>
        </w:rPr>
        <w:t xml:space="preserve">configuration </w:t>
      </w:r>
      <w:r w:rsidR="00B31EA9">
        <w:rPr>
          <w:rFonts w:asciiTheme="minorHAnsi" w:hAnsiTheme="minorHAnsi" w:cstheme="minorHAnsi"/>
          <w:sz w:val="22"/>
          <w:szCs w:val="22"/>
          <w:lang w:val="en-CA"/>
        </w:rPr>
        <w:t>should be seen as an exception</w:t>
      </w:r>
      <w:r w:rsidR="001B1CCF">
        <w:rPr>
          <w:rFonts w:asciiTheme="minorHAnsi" w:hAnsiTheme="minorHAnsi" w:cstheme="minorHAnsi"/>
          <w:sz w:val="22"/>
          <w:szCs w:val="22"/>
          <w:lang w:val="en-CA"/>
        </w:rPr>
        <w:t>al case</w:t>
      </w:r>
      <w:r w:rsidR="00B31EA9">
        <w:rPr>
          <w:rFonts w:asciiTheme="minorHAnsi" w:hAnsiTheme="minorHAnsi" w:cstheme="minorHAnsi"/>
          <w:sz w:val="22"/>
          <w:szCs w:val="22"/>
          <w:lang w:val="en-CA"/>
        </w:rPr>
        <w:t>, and would call for an interruption in the reception</w:t>
      </w:r>
      <w:r w:rsidR="001B1CCF">
        <w:rPr>
          <w:rFonts w:asciiTheme="minorHAnsi" w:hAnsiTheme="minorHAnsi" w:cstheme="minorHAnsi"/>
          <w:sz w:val="22"/>
          <w:szCs w:val="22"/>
          <w:lang w:val="en-CA"/>
        </w:rPr>
        <w:t xml:space="preserve"> where the length of the interruption would depend on whether the reference signals upon which the new configuration is based are previously known to the UE.</w:t>
      </w:r>
      <w:r w:rsidR="007539A3" w:rsidRPr="007539A3">
        <w:rPr>
          <w:rFonts w:asciiTheme="minorHAnsi" w:hAnsiTheme="minorHAnsi" w:cstheme="minorHAnsi"/>
          <w:sz w:val="22"/>
          <w:szCs w:val="22"/>
          <w:lang w:val="en-CA"/>
        </w:rPr>
        <w:t xml:space="preserve"> </w:t>
      </w:r>
    </w:p>
    <w:p w14:paraId="107B4AD6" w14:textId="485DBEA2" w:rsidR="00812525" w:rsidRPr="00812525" w:rsidRDefault="00812525" w:rsidP="00472749">
      <w:pPr>
        <w:rPr>
          <w:rFonts w:asciiTheme="minorHAnsi" w:hAnsiTheme="minorHAnsi" w:cstheme="minorHAnsi"/>
          <w:sz w:val="22"/>
          <w:szCs w:val="22"/>
          <w:lang w:val="en-CA"/>
        </w:rPr>
      </w:pPr>
      <w:r>
        <w:rPr>
          <w:rFonts w:asciiTheme="minorHAnsi" w:hAnsiTheme="minorHAnsi" w:cstheme="minorHAnsi"/>
          <w:b/>
          <w:sz w:val="22"/>
          <w:szCs w:val="22"/>
          <w:lang w:val="en-CA"/>
        </w:rPr>
        <w:t>Proposal 1:</w:t>
      </w:r>
      <w:r>
        <w:rPr>
          <w:rFonts w:asciiTheme="minorHAnsi" w:hAnsiTheme="minorHAnsi" w:cstheme="minorHAnsi"/>
          <w:sz w:val="22"/>
          <w:szCs w:val="22"/>
          <w:lang w:val="en-CA"/>
        </w:rPr>
        <w:t xml:space="preserve"> RRC re-configuration of the configurations of active TCI states shall be </w:t>
      </w:r>
      <w:r w:rsidR="00C37212">
        <w:rPr>
          <w:rFonts w:asciiTheme="minorHAnsi" w:hAnsiTheme="minorHAnsi" w:cstheme="minorHAnsi"/>
          <w:sz w:val="22"/>
          <w:szCs w:val="22"/>
          <w:lang w:val="en-CA"/>
        </w:rPr>
        <w:t>viewed</w:t>
      </w:r>
      <w:r>
        <w:rPr>
          <w:rFonts w:asciiTheme="minorHAnsi" w:hAnsiTheme="minorHAnsi" w:cstheme="minorHAnsi"/>
          <w:sz w:val="22"/>
          <w:szCs w:val="22"/>
          <w:lang w:val="en-CA"/>
        </w:rPr>
        <w:t xml:space="preserve"> as an exception. F</w:t>
      </w:r>
      <w:r w:rsidR="00C37212">
        <w:rPr>
          <w:rFonts w:asciiTheme="minorHAnsi" w:hAnsiTheme="minorHAnsi" w:cstheme="minorHAnsi"/>
          <w:sz w:val="22"/>
          <w:szCs w:val="22"/>
          <w:lang w:val="en-CA"/>
        </w:rPr>
        <w:t xml:space="preserve">FS </w:t>
      </w:r>
      <w:r>
        <w:rPr>
          <w:rFonts w:asciiTheme="minorHAnsi" w:hAnsiTheme="minorHAnsi" w:cstheme="minorHAnsi"/>
          <w:sz w:val="22"/>
          <w:szCs w:val="22"/>
          <w:lang w:val="en-CA"/>
        </w:rPr>
        <w:t xml:space="preserve">whether delay and interruption requirements are needed. </w:t>
      </w:r>
    </w:p>
    <w:p w14:paraId="599EB896" w14:textId="480BB9D7" w:rsidR="0074512A" w:rsidRDefault="00472749" w:rsidP="00472749">
      <w:pPr>
        <w:rPr>
          <w:rFonts w:asciiTheme="minorHAnsi" w:hAnsiTheme="minorHAnsi" w:cstheme="minorHAnsi"/>
          <w:sz w:val="22"/>
          <w:szCs w:val="22"/>
          <w:lang w:val="en-CA"/>
        </w:rPr>
      </w:pPr>
      <w:r>
        <w:rPr>
          <w:rFonts w:asciiTheme="minorHAnsi" w:hAnsiTheme="minorHAnsi" w:cstheme="minorHAnsi"/>
          <w:sz w:val="22"/>
          <w:szCs w:val="22"/>
          <w:lang w:val="en-CA"/>
        </w:rPr>
        <w:t xml:space="preserve">Selection by gNB of active TCI states shall in the general case follow upon feedback from the UE, e.g. via </w:t>
      </w:r>
      <w:r w:rsidR="003276CE">
        <w:rPr>
          <w:rFonts w:asciiTheme="minorHAnsi" w:hAnsiTheme="minorHAnsi" w:cstheme="minorHAnsi"/>
          <w:sz w:val="22"/>
          <w:szCs w:val="22"/>
          <w:lang w:val="en-CA"/>
        </w:rPr>
        <w:t>CSI reporting of measur</w:t>
      </w:r>
      <w:r w:rsidR="001F5248">
        <w:rPr>
          <w:rFonts w:asciiTheme="minorHAnsi" w:hAnsiTheme="minorHAnsi" w:cstheme="minorHAnsi"/>
          <w:sz w:val="22"/>
          <w:szCs w:val="22"/>
          <w:lang w:val="en-CA"/>
        </w:rPr>
        <w:t>e</w:t>
      </w:r>
      <w:r w:rsidR="003276CE">
        <w:rPr>
          <w:rFonts w:asciiTheme="minorHAnsi" w:hAnsiTheme="minorHAnsi" w:cstheme="minorHAnsi"/>
          <w:sz w:val="22"/>
          <w:szCs w:val="22"/>
          <w:lang w:val="en-CA"/>
        </w:rPr>
        <w:t>ments on CSI-RS and/or SSBs</w:t>
      </w:r>
      <w:r>
        <w:rPr>
          <w:rFonts w:asciiTheme="minorHAnsi" w:hAnsiTheme="minorHAnsi" w:cstheme="minorHAnsi"/>
          <w:sz w:val="22"/>
          <w:szCs w:val="22"/>
          <w:lang w:val="en-CA"/>
        </w:rPr>
        <w:t>.</w:t>
      </w:r>
      <w:r w:rsidR="003276CE">
        <w:rPr>
          <w:rFonts w:asciiTheme="minorHAnsi" w:hAnsiTheme="minorHAnsi" w:cstheme="minorHAnsi"/>
          <w:sz w:val="22"/>
          <w:szCs w:val="22"/>
          <w:lang w:val="en-CA"/>
        </w:rPr>
        <w:t xml:space="preserve"> For initial selection, it may also depend on beam index reporting within the RRM framework, or </w:t>
      </w:r>
      <w:r w:rsidR="003276CE" w:rsidRPr="003276CE">
        <w:rPr>
          <w:rFonts w:asciiTheme="minorHAnsi" w:hAnsiTheme="minorHAnsi" w:cstheme="minorHAnsi"/>
          <w:sz w:val="22"/>
          <w:szCs w:val="22"/>
          <w:lang w:val="en-CA"/>
        </w:rPr>
        <w:t xml:space="preserve">on </w:t>
      </w:r>
      <w:r w:rsidR="003276CE">
        <w:rPr>
          <w:rFonts w:asciiTheme="minorHAnsi" w:hAnsiTheme="minorHAnsi" w:cstheme="minorHAnsi"/>
          <w:sz w:val="22"/>
          <w:szCs w:val="22"/>
          <w:lang w:val="en-CA"/>
        </w:rPr>
        <w:t xml:space="preserve">information acquired during </w:t>
      </w:r>
      <w:r w:rsidR="003276CE" w:rsidRPr="003276CE">
        <w:rPr>
          <w:rFonts w:asciiTheme="minorHAnsi" w:hAnsiTheme="minorHAnsi" w:cstheme="minorHAnsi"/>
          <w:sz w:val="22"/>
          <w:szCs w:val="22"/>
          <w:lang w:val="en-CA"/>
        </w:rPr>
        <w:t>random acces</w:t>
      </w:r>
      <w:r w:rsidR="003276CE">
        <w:rPr>
          <w:rFonts w:asciiTheme="minorHAnsi" w:hAnsiTheme="minorHAnsi" w:cstheme="minorHAnsi"/>
          <w:sz w:val="22"/>
          <w:szCs w:val="22"/>
          <w:lang w:val="en-CA"/>
        </w:rPr>
        <w:t>s</w:t>
      </w:r>
      <w:r w:rsidR="003276CE" w:rsidRPr="003276CE">
        <w:rPr>
          <w:rFonts w:asciiTheme="minorHAnsi" w:hAnsiTheme="minorHAnsi" w:cstheme="minorHAnsi"/>
          <w:sz w:val="22"/>
          <w:szCs w:val="22"/>
          <w:lang w:val="en-CA"/>
        </w:rPr>
        <w:t>.</w:t>
      </w:r>
      <w:r w:rsidR="00B31EA9">
        <w:rPr>
          <w:rFonts w:asciiTheme="minorHAnsi" w:hAnsiTheme="minorHAnsi" w:cstheme="minorHAnsi"/>
          <w:sz w:val="22"/>
          <w:szCs w:val="22"/>
          <w:lang w:val="en-CA"/>
        </w:rPr>
        <w:t xml:space="preserve"> </w:t>
      </w:r>
      <w:r w:rsidR="001B1CCF">
        <w:rPr>
          <w:rFonts w:asciiTheme="minorHAnsi" w:hAnsiTheme="minorHAnsi" w:cstheme="minorHAnsi"/>
          <w:sz w:val="22"/>
          <w:szCs w:val="22"/>
          <w:lang w:val="en-CA"/>
        </w:rPr>
        <w:t xml:space="preserve">Provided that </w:t>
      </w:r>
      <w:r w:rsidR="00B11EA8">
        <w:rPr>
          <w:rFonts w:asciiTheme="minorHAnsi" w:hAnsiTheme="minorHAnsi" w:cstheme="minorHAnsi"/>
          <w:sz w:val="22"/>
          <w:szCs w:val="22"/>
          <w:lang w:val="en-CA"/>
        </w:rPr>
        <w:t>TCI state switching is between TCI state</w:t>
      </w:r>
      <w:r w:rsidR="0079400C">
        <w:rPr>
          <w:rFonts w:asciiTheme="minorHAnsi" w:hAnsiTheme="minorHAnsi" w:cstheme="minorHAnsi"/>
          <w:sz w:val="22"/>
          <w:szCs w:val="22"/>
          <w:lang w:val="en-CA"/>
        </w:rPr>
        <w:t xml:space="preserve"> configurations </w:t>
      </w:r>
      <w:r w:rsidR="00B11EA8">
        <w:rPr>
          <w:rFonts w:asciiTheme="minorHAnsi" w:hAnsiTheme="minorHAnsi" w:cstheme="minorHAnsi"/>
          <w:sz w:val="22"/>
          <w:szCs w:val="22"/>
          <w:lang w:val="en-CA"/>
        </w:rPr>
        <w:t xml:space="preserve">not impacted by ongoing RRC re-configuration, and </w:t>
      </w:r>
      <w:r w:rsidR="0079400C">
        <w:rPr>
          <w:rFonts w:asciiTheme="minorHAnsi" w:hAnsiTheme="minorHAnsi" w:cstheme="minorHAnsi"/>
          <w:sz w:val="22"/>
          <w:szCs w:val="22"/>
          <w:lang w:val="en-CA"/>
        </w:rPr>
        <w:t>provided that the</w:t>
      </w:r>
      <w:r w:rsidR="00B11EA8">
        <w:rPr>
          <w:rFonts w:asciiTheme="minorHAnsi" w:hAnsiTheme="minorHAnsi" w:cstheme="minorHAnsi"/>
          <w:sz w:val="22"/>
          <w:szCs w:val="22"/>
          <w:lang w:val="en-CA"/>
        </w:rPr>
        <w:t xml:space="preserve"> reference signals </w:t>
      </w:r>
      <w:r w:rsidR="0079400C">
        <w:rPr>
          <w:rFonts w:asciiTheme="minorHAnsi" w:hAnsiTheme="minorHAnsi" w:cstheme="minorHAnsi"/>
          <w:sz w:val="22"/>
          <w:szCs w:val="22"/>
          <w:lang w:val="en-CA"/>
        </w:rPr>
        <w:t xml:space="preserve">upon which the TCI states are based </w:t>
      </w:r>
      <w:r w:rsidR="00B11EA8">
        <w:rPr>
          <w:rFonts w:asciiTheme="minorHAnsi" w:hAnsiTheme="minorHAnsi" w:cstheme="minorHAnsi"/>
          <w:sz w:val="22"/>
          <w:szCs w:val="22"/>
          <w:lang w:val="en-CA"/>
        </w:rPr>
        <w:t xml:space="preserve">are known to the UE, the TCI switching shall follow the </w:t>
      </w:r>
      <w:r w:rsidR="0079400C">
        <w:rPr>
          <w:rFonts w:asciiTheme="minorHAnsi" w:hAnsiTheme="minorHAnsi" w:cstheme="minorHAnsi"/>
          <w:sz w:val="22"/>
          <w:szCs w:val="22"/>
          <w:lang w:val="en-CA"/>
        </w:rPr>
        <w:t xml:space="preserve">already </w:t>
      </w:r>
      <w:r w:rsidR="00B11EA8">
        <w:rPr>
          <w:rFonts w:asciiTheme="minorHAnsi" w:hAnsiTheme="minorHAnsi" w:cstheme="minorHAnsi"/>
          <w:sz w:val="22"/>
          <w:szCs w:val="22"/>
          <w:lang w:val="en-CA"/>
        </w:rPr>
        <w:t>specified delays for MAC</w:t>
      </w:r>
      <w:r w:rsidR="00935002">
        <w:rPr>
          <w:rFonts w:asciiTheme="minorHAnsi" w:hAnsiTheme="minorHAnsi" w:cstheme="minorHAnsi"/>
          <w:sz w:val="22"/>
          <w:szCs w:val="22"/>
          <w:lang w:val="en-CA"/>
        </w:rPr>
        <w:t>-CE</w:t>
      </w:r>
      <w:r w:rsidR="00B11EA8">
        <w:rPr>
          <w:rFonts w:asciiTheme="minorHAnsi" w:hAnsiTheme="minorHAnsi" w:cstheme="minorHAnsi"/>
          <w:sz w:val="22"/>
          <w:szCs w:val="22"/>
          <w:lang w:val="en-CA"/>
        </w:rPr>
        <w:t xml:space="preserve"> </w:t>
      </w:r>
      <w:r w:rsidR="00935002">
        <w:rPr>
          <w:rFonts w:asciiTheme="minorHAnsi" w:hAnsiTheme="minorHAnsi" w:cstheme="minorHAnsi"/>
          <w:sz w:val="22"/>
          <w:szCs w:val="22"/>
          <w:lang w:val="en-CA"/>
        </w:rPr>
        <w:t xml:space="preserve">(3ms) </w:t>
      </w:r>
      <w:r w:rsidR="00B11EA8">
        <w:rPr>
          <w:rFonts w:asciiTheme="minorHAnsi" w:hAnsiTheme="minorHAnsi" w:cstheme="minorHAnsi"/>
          <w:sz w:val="22"/>
          <w:szCs w:val="22"/>
          <w:lang w:val="en-CA"/>
        </w:rPr>
        <w:t xml:space="preserve">and DCI-based </w:t>
      </w:r>
      <w:r w:rsidR="00935002">
        <w:rPr>
          <w:rFonts w:asciiTheme="minorHAnsi" w:hAnsiTheme="minorHAnsi" w:cstheme="minorHAnsi"/>
          <w:sz w:val="22"/>
          <w:szCs w:val="22"/>
          <w:lang w:val="en-CA"/>
        </w:rPr>
        <w:t xml:space="preserve">(2ms) </w:t>
      </w:r>
      <w:r w:rsidR="0074512A">
        <w:rPr>
          <w:rFonts w:asciiTheme="minorHAnsi" w:hAnsiTheme="minorHAnsi" w:cstheme="minorHAnsi"/>
          <w:sz w:val="22"/>
          <w:szCs w:val="22"/>
          <w:lang w:val="en-CA"/>
        </w:rPr>
        <w:t>activation</w:t>
      </w:r>
      <w:r w:rsidR="00B11EA8">
        <w:rPr>
          <w:rFonts w:asciiTheme="minorHAnsi" w:hAnsiTheme="minorHAnsi" w:cstheme="minorHAnsi"/>
          <w:sz w:val="22"/>
          <w:szCs w:val="22"/>
          <w:lang w:val="en-CA"/>
        </w:rPr>
        <w:t xml:space="preserve"> of TCI state</w:t>
      </w:r>
      <w:r w:rsidR="0074512A">
        <w:rPr>
          <w:rFonts w:asciiTheme="minorHAnsi" w:hAnsiTheme="minorHAnsi" w:cstheme="minorHAnsi"/>
          <w:sz w:val="22"/>
          <w:szCs w:val="22"/>
          <w:lang w:val="en-CA"/>
        </w:rPr>
        <w:t xml:space="preserve">. No interruptions shall </w:t>
      </w:r>
      <w:r w:rsidR="00935002">
        <w:rPr>
          <w:rFonts w:asciiTheme="minorHAnsi" w:hAnsiTheme="minorHAnsi" w:cstheme="minorHAnsi"/>
          <w:sz w:val="22"/>
          <w:szCs w:val="22"/>
          <w:lang w:val="en-CA"/>
        </w:rPr>
        <w:t>result</w:t>
      </w:r>
      <w:r w:rsidR="0074512A">
        <w:rPr>
          <w:rFonts w:asciiTheme="minorHAnsi" w:hAnsiTheme="minorHAnsi" w:cstheme="minorHAnsi"/>
          <w:sz w:val="22"/>
          <w:szCs w:val="22"/>
          <w:lang w:val="en-CA"/>
        </w:rPr>
        <w:t xml:space="preserve"> </w:t>
      </w:r>
      <w:r w:rsidR="00662C0F">
        <w:rPr>
          <w:rFonts w:asciiTheme="minorHAnsi" w:hAnsiTheme="minorHAnsi" w:cstheme="minorHAnsi"/>
          <w:sz w:val="22"/>
          <w:szCs w:val="22"/>
          <w:lang w:val="en-CA"/>
        </w:rPr>
        <w:t xml:space="preserve">in the concerned cell </w:t>
      </w:r>
      <w:r w:rsidR="0074512A">
        <w:rPr>
          <w:rFonts w:asciiTheme="minorHAnsi" w:hAnsiTheme="minorHAnsi" w:cstheme="minorHAnsi"/>
          <w:sz w:val="22"/>
          <w:szCs w:val="22"/>
          <w:lang w:val="en-CA"/>
        </w:rPr>
        <w:t>from this switching.</w:t>
      </w:r>
      <w:r w:rsidR="00163E8A">
        <w:rPr>
          <w:rFonts w:asciiTheme="minorHAnsi" w:hAnsiTheme="minorHAnsi" w:cstheme="minorHAnsi"/>
          <w:sz w:val="22"/>
          <w:szCs w:val="22"/>
          <w:lang w:val="en-CA"/>
        </w:rPr>
        <w:t xml:space="preserve"> Switching to TCI states </w:t>
      </w:r>
      <w:r w:rsidR="000A090F">
        <w:rPr>
          <w:rFonts w:asciiTheme="minorHAnsi" w:hAnsiTheme="minorHAnsi" w:cstheme="minorHAnsi"/>
          <w:sz w:val="22"/>
          <w:szCs w:val="22"/>
          <w:lang w:val="en-CA"/>
        </w:rPr>
        <w:t xml:space="preserve">that are </w:t>
      </w:r>
      <w:r w:rsidR="00163E8A">
        <w:rPr>
          <w:rFonts w:asciiTheme="minorHAnsi" w:hAnsiTheme="minorHAnsi" w:cstheme="minorHAnsi"/>
          <w:sz w:val="22"/>
          <w:szCs w:val="22"/>
          <w:lang w:val="en-CA"/>
        </w:rPr>
        <w:t>based on reference signals that have not yet been detected by the UE should be seen as an exceptional case, and would call for interruption in the reception until the UE has synchronized to those reference signals.</w:t>
      </w:r>
    </w:p>
    <w:p w14:paraId="04E53C75" w14:textId="45E05D6E" w:rsidR="00812525" w:rsidRPr="00812525" w:rsidRDefault="00812525" w:rsidP="00472749">
      <w:pPr>
        <w:rPr>
          <w:rFonts w:asciiTheme="minorHAnsi" w:hAnsiTheme="minorHAnsi" w:cstheme="minorHAnsi"/>
          <w:sz w:val="22"/>
          <w:szCs w:val="22"/>
          <w:lang w:val="en-CA"/>
        </w:rPr>
      </w:pPr>
      <w:r>
        <w:rPr>
          <w:rFonts w:asciiTheme="minorHAnsi" w:hAnsiTheme="minorHAnsi" w:cstheme="minorHAnsi"/>
          <w:b/>
          <w:sz w:val="22"/>
          <w:szCs w:val="22"/>
          <w:lang w:val="en-CA"/>
        </w:rPr>
        <w:t>Proposal 2:</w:t>
      </w:r>
      <w:r>
        <w:rPr>
          <w:rFonts w:asciiTheme="minorHAnsi" w:hAnsiTheme="minorHAnsi" w:cstheme="minorHAnsi"/>
          <w:sz w:val="22"/>
          <w:szCs w:val="22"/>
          <w:lang w:val="en-CA"/>
        </w:rPr>
        <w:t xml:space="preserve"> Switching to TCI states whose configurations are based on reference signals not yet detected by the UE shall be </w:t>
      </w:r>
      <w:r w:rsidR="00C37212">
        <w:rPr>
          <w:rFonts w:asciiTheme="minorHAnsi" w:hAnsiTheme="minorHAnsi" w:cstheme="minorHAnsi"/>
          <w:sz w:val="22"/>
          <w:szCs w:val="22"/>
          <w:lang w:val="en-CA"/>
        </w:rPr>
        <w:t>viewed</w:t>
      </w:r>
      <w:r>
        <w:rPr>
          <w:rFonts w:asciiTheme="minorHAnsi" w:hAnsiTheme="minorHAnsi" w:cstheme="minorHAnsi"/>
          <w:sz w:val="22"/>
          <w:szCs w:val="22"/>
          <w:lang w:val="en-CA"/>
        </w:rPr>
        <w:t xml:space="preserve"> as an exception. FFS whether delay and interruption requirements are needed.</w:t>
      </w:r>
    </w:p>
    <w:p w14:paraId="1F0F5166" w14:textId="0D97C760" w:rsidR="00935002" w:rsidRDefault="00935002" w:rsidP="00472749">
      <w:pPr>
        <w:rPr>
          <w:rFonts w:asciiTheme="minorHAnsi" w:hAnsiTheme="minorHAnsi" w:cstheme="minorHAnsi"/>
          <w:sz w:val="22"/>
          <w:szCs w:val="22"/>
          <w:lang w:val="en-CA"/>
        </w:rPr>
      </w:pPr>
      <w:r>
        <w:rPr>
          <w:rFonts w:asciiTheme="minorHAnsi" w:hAnsiTheme="minorHAnsi" w:cstheme="minorHAnsi"/>
          <w:sz w:val="22"/>
          <w:szCs w:val="22"/>
          <w:lang w:val="en-CA"/>
        </w:rPr>
        <w:t xml:space="preserve">One purpose with TCI states is to implicitly indicate to the UE </w:t>
      </w:r>
      <w:r w:rsidR="006E7030">
        <w:rPr>
          <w:rFonts w:asciiTheme="minorHAnsi" w:hAnsiTheme="minorHAnsi" w:cstheme="minorHAnsi"/>
          <w:sz w:val="22"/>
          <w:szCs w:val="22"/>
          <w:lang w:val="en-CA"/>
        </w:rPr>
        <w:t>which RX beam it shall use.</w:t>
      </w:r>
      <w:r w:rsidR="008F3E1B">
        <w:rPr>
          <w:rFonts w:asciiTheme="minorHAnsi" w:hAnsiTheme="minorHAnsi" w:cstheme="minorHAnsi"/>
          <w:sz w:val="22"/>
          <w:szCs w:val="22"/>
          <w:lang w:val="en-CA"/>
        </w:rPr>
        <w:t xml:space="preserve"> Depending on </w:t>
      </w:r>
      <w:r w:rsidR="00584AE0">
        <w:rPr>
          <w:rFonts w:asciiTheme="minorHAnsi" w:hAnsiTheme="minorHAnsi" w:cstheme="minorHAnsi"/>
          <w:sz w:val="22"/>
          <w:szCs w:val="22"/>
          <w:lang w:val="en-CA"/>
        </w:rPr>
        <w:t xml:space="preserve">the </w:t>
      </w:r>
      <w:r w:rsidR="00C93BCC">
        <w:rPr>
          <w:rFonts w:asciiTheme="minorHAnsi" w:hAnsiTheme="minorHAnsi" w:cstheme="minorHAnsi"/>
          <w:sz w:val="22"/>
          <w:szCs w:val="22"/>
          <w:lang w:val="en-CA"/>
        </w:rPr>
        <w:t xml:space="preserve">TCI states </w:t>
      </w:r>
      <w:r w:rsidR="00584AE0">
        <w:rPr>
          <w:rFonts w:asciiTheme="minorHAnsi" w:hAnsiTheme="minorHAnsi" w:cstheme="minorHAnsi"/>
          <w:sz w:val="22"/>
          <w:szCs w:val="22"/>
          <w:lang w:val="en-CA"/>
        </w:rPr>
        <w:t xml:space="preserve">between which </w:t>
      </w:r>
      <w:r w:rsidR="00C93BCC">
        <w:rPr>
          <w:rFonts w:asciiTheme="minorHAnsi" w:hAnsiTheme="minorHAnsi" w:cstheme="minorHAnsi"/>
          <w:sz w:val="22"/>
          <w:szCs w:val="22"/>
          <w:lang w:val="en-CA"/>
        </w:rPr>
        <w:t>switching is made, this may imply that the UE needs to change antenna panel for the reception.</w:t>
      </w:r>
      <w:r w:rsidR="00383452">
        <w:rPr>
          <w:rFonts w:asciiTheme="minorHAnsi" w:hAnsiTheme="minorHAnsi" w:cstheme="minorHAnsi"/>
          <w:sz w:val="22"/>
          <w:szCs w:val="22"/>
          <w:lang w:val="en-CA"/>
        </w:rPr>
        <w:t xml:space="preserve"> For intra-band CA in FR2 it has been assumed that the SSBs from the serving cells shall have </w:t>
      </w:r>
      <w:r w:rsidR="00383452">
        <w:rPr>
          <w:rFonts w:asciiTheme="minorHAnsi" w:hAnsiTheme="minorHAnsi" w:cstheme="minorHAnsi"/>
          <w:sz w:val="22"/>
          <w:szCs w:val="22"/>
          <w:lang w:val="en-CA"/>
        </w:rPr>
        <w:lastRenderedPageBreak/>
        <w:t>the same spatial domain transmission filter</w:t>
      </w:r>
      <w:r w:rsidR="007539A3">
        <w:rPr>
          <w:rFonts w:asciiTheme="minorHAnsi" w:hAnsiTheme="minorHAnsi" w:cstheme="minorHAnsi"/>
          <w:sz w:val="22"/>
          <w:szCs w:val="22"/>
          <w:lang w:val="en-CA"/>
        </w:rPr>
        <w:t>, with UE hardware limitations as the justification</w:t>
      </w:r>
      <w:r w:rsidR="00383452">
        <w:rPr>
          <w:rFonts w:asciiTheme="minorHAnsi" w:hAnsiTheme="minorHAnsi" w:cstheme="minorHAnsi"/>
          <w:sz w:val="22"/>
          <w:szCs w:val="22"/>
          <w:lang w:val="en-CA"/>
        </w:rPr>
        <w:t xml:space="preserve">. </w:t>
      </w:r>
      <w:r w:rsidR="001C0DDC">
        <w:rPr>
          <w:rFonts w:asciiTheme="minorHAnsi" w:hAnsiTheme="minorHAnsi" w:cstheme="minorHAnsi"/>
          <w:sz w:val="22"/>
          <w:szCs w:val="22"/>
          <w:lang w:val="en-CA"/>
        </w:rPr>
        <w:t xml:space="preserve">A further discussion is needed on what this implies regarding </w:t>
      </w:r>
      <w:r w:rsidR="007539A3">
        <w:rPr>
          <w:rFonts w:asciiTheme="minorHAnsi" w:hAnsiTheme="minorHAnsi" w:cstheme="minorHAnsi"/>
          <w:sz w:val="22"/>
          <w:szCs w:val="22"/>
          <w:lang w:val="en-CA"/>
        </w:rPr>
        <w:t xml:space="preserve">the </w:t>
      </w:r>
      <w:r w:rsidR="001C0DDC">
        <w:rPr>
          <w:rFonts w:asciiTheme="minorHAnsi" w:hAnsiTheme="minorHAnsi" w:cstheme="minorHAnsi"/>
          <w:sz w:val="22"/>
          <w:szCs w:val="22"/>
          <w:lang w:val="en-CA"/>
        </w:rPr>
        <w:t xml:space="preserve">TCI states </w:t>
      </w:r>
      <w:r w:rsidR="007539A3">
        <w:rPr>
          <w:rFonts w:asciiTheme="minorHAnsi" w:hAnsiTheme="minorHAnsi" w:cstheme="minorHAnsi"/>
          <w:sz w:val="22"/>
          <w:szCs w:val="22"/>
          <w:lang w:val="en-CA"/>
        </w:rPr>
        <w:t>in use</w:t>
      </w:r>
      <w:r w:rsidR="001C0DDC">
        <w:rPr>
          <w:rFonts w:asciiTheme="minorHAnsi" w:hAnsiTheme="minorHAnsi" w:cstheme="minorHAnsi"/>
          <w:sz w:val="22"/>
          <w:szCs w:val="22"/>
          <w:lang w:val="en-CA"/>
        </w:rPr>
        <w:t xml:space="preserve"> in the serving cells.</w:t>
      </w:r>
      <w:r w:rsidR="00383452">
        <w:rPr>
          <w:rFonts w:asciiTheme="minorHAnsi" w:hAnsiTheme="minorHAnsi" w:cstheme="minorHAnsi"/>
          <w:sz w:val="22"/>
          <w:szCs w:val="22"/>
          <w:lang w:val="en-CA"/>
        </w:rPr>
        <w:t xml:space="preserve">  </w:t>
      </w:r>
    </w:p>
    <w:p w14:paraId="0D499F92" w14:textId="7F2A009F" w:rsidR="0079400C" w:rsidRDefault="006E5F55" w:rsidP="00472749">
      <w:pPr>
        <w:rPr>
          <w:rFonts w:asciiTheme="minorHAnsi" w:hAnsiTheme="minorHAnsi" w:cstheme="minorHAnsi"/>
          <w:sz w:val="22"/>
          <w:szCs w:val="22"/>
          <w:lang w:val="en-CA"/>
        </w:rPr>
      </w:pPr>
      <w:r w:rsidRPr="00001B1B">
        <w:rPr>
          <w:rFonts w:asciiTheme="minorHAnsi" w:hAnsiTheme="minorHAnsi" w:cstheme="minorHAnsi"/>
          <w:noProof/>
          <w:sz w:val="22"/>
          <w:szCs w:val="22"/>
          <w:lang w:val="en-CA"/>
        </w:rPr>
        <mc:AlternateContent>
          <mc:Choice Requires="wps">
            <w:drawing>
              <wp:anchor distT="45720" distB="45720" distL="114300" distR="114300" simplePos="0" relativeHeight="251661312" behindDoc="0" locked="0" layoutInCell="1" allowOverlap="1" wp14:anchorId="7B0C4E6D" wp14:editId="1E2DC1D3">
                <wp:simplePos x="0" y="0"/>
                <wp:positionH relativeFrom="column">
                  <wp:posOffset>501015</wp:posOffset>
                </wp:positionH>
                <wp:positionV relativeFrom="paragraph">
                  <wp:posOffset>104140</wp:posOffset>
                </wp:positionV>
                <wp:extent cx="4980940" cy="1036955"/>
                <wp:effectExtent l="0" t="0" r="10160" b="107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0940" cy="1036955"/>
                        </a:xfrm>
                        <a:prstGeom prst="rect">
                          <a:avLst/>
                        </a:prstGeom>
                        <a:solidFill>
                          <a:srgbClr val="FFFFFF"/>
                        </a:solidFill>
                        <a:ln w="9525">
                          <a:solidFill>
                            <a:srgbClr val="000000"/>
                          </a:solidFill>
                          <a:miter lim="800000"/>
                          <a:headEnd/>
                          <a:tailEnd/>
                        </a:ln>
                      </wps:spPr>
                      <wps:txbx>
                        <w:txbxContent>
                          <w:p w14:paraId="3C42F16C" w14:textId="0B87A1DE" w:rsidR="00001B1B" w:rsidRPr="006E5F55" w:rsidRDefault="00001B1B" w:rsidP="00001B1B">
                            <w:pPr>
                              <w:pStyle w:val="Heading3"/>
                              <w:numPr>
                                <w:ilvl w:val="0"/>
                                <w:numId w:val="0"/>
                              </w:numPr>
                              <w:ind w:left="720" w:hanging="720"/>
                              <w:rPr>
                                <w:sz w:val="22"/>
                                <w:lang w:val="en-US" w:eastAsia="ko-KR"/>
                              </w:rPr>
                            </w:pPr>
                            <w:bookmarkStart w:id="4" w:name="_Toc535475865"/>
                            <w:r w:rsidRPr="006E5F55">
                              <w:rPr>
                                <w:sz w:val="22"/>
                                <w:lang w:val="en-US" w:eastAsia="ko-KR"/>
                              </w:rPr>
                              <w:t>3.6.3</w:t>
                            </w:r>
                            <w:r w:rsidRPr="006E5F55">
                              <w:rPr>
                                <w:sz w:val="22"/>
                                <w:lang w:val="en-US" w:eastAsia="ko-KR"/>
                              </w:rPr>
                              <w:tab/>
                              <w:t xml:space="preserve">Applicability </w:t>
                            </w:r>
                            <w:r w:rsidRPr="006E5F55">
                              <w:rPr>
                                <w:noProof/>
                                <w:sz w:val="22"/>
                              </w:rPr>
                              <w:t>for SSB Rx beam in intra-band FR2</w:t>
                            </w:r>
                            <w:bookmarkEnd w:id="4"/>
                          </w:p>
                          <w:p w14:paraId="6F348CB4" w14:textId="77777777" w:rsidR="00001B1B" w:rsidRPr="006E5F55" w:rsidRDefault="00001B1B" w:rsidP="00001B1B">
                            <w:pPr>
                              <w:rPr>
                                <w:rFonts w:eastAsia="Malgun Gothic"/>
                                <w:sz w:val="16"/>
                                <w:lang w:eastAsia="ko-KR"/>
                              </w:rPr>
                            </w:pPr>
                            <w:r w:rsidRPr="006E5F55">
                              <w:rPr>
                                <w:rFonts w:eastAsia="?? ??"/>
                                <w:sz w:val="16"/>
                                <w:lang w:eastAsia="ko-KR"/>
                              </w:rPr>
                              <w:t xml:space="preserve">For the requirements in RRC connected state specified in this version of the specification, UE shall assume that the SSBs from the serving cells should have </w:t>
                            </w:r>
                            <w:r w:rsidRPr="006E5F55">
                              <w:rPr>
                                <w:rFonts w:eastAsia="MS Mincho"/>
                                <w:sz w:val="16"/>
                              </w:rPr>
                              <w:t>the same downlink spatial domain transmission filter</w:t>
                            </w:r>
                            <w:r w:rsidRPr="006E5F55">
                              <w:rPr>
                                <w:rFonts w:eastAsia="?? ??"/>
                                <w:sz w:val="16"/>
                                <w:lang w:eastAsia="ko-KR"/>
                              </w:rPr>
                              <w:t xml:space="preserve"> in the same band in FR2. If the SSBs don’t have same </w:t>
                            </w:r>
                            <w:r w:rsidRPr="006E5F55">
                              <w:rPr>
                                <w:rFonts w:eastAsia="MS Mincho"/>
                                <w:sz w:val="16"/>
                              </w:rPr>
                              <w:t xml:space="preserve">downlink </w:t>
                            </w:r>
                            <w:r w:rsidRPr="006E5F55">
                              <w:rPr>
                                <w:rFonts w:eastAsia="?? ??"/>
                                <w:sz w:val="16"/>
                                <w:lang w:eastAsia="ko-KR"/>
                              </w:rPr>
                              <w:t>spatial domain transmission filter the UE is not supposed to satisfy any requirements for SCell.</w:t>
                            </w:r>
                          </w:p>
                          <w:p w14:paraId="1DD6C79D" w14:textId="26FB2358" w:rsidR="00001B1B" w:rsidRPr="006E5F55" w:rsidRDefault="00001B1B">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0C4E6D" id="_x0000_s1027" type="#_x0000_t202" style="position:absolute;margin-left:39.45pt;margin-top:8.2pt;width:392.2pt;height:81.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MIvJQIAAEwEAAAOAAAAZHJzL2Uyb0RvYy54bWysVNuO2yAQfa/Uf0C8N3bSZJtYcVbbbFNV&#10;2l6k3X4AxjhGBYYCiZ1+fQfsTa22T1X9gBhmOBzOGby97bUiZ+G8BFPS+SynRBgOtTTHkn59Orxa&#10;U+IDMzVTYERJL8LT293LF9vOFmIBLahaOIIgxhedLWkbgi2yzPNWaOZnYIXBZANOs4ChO2a1Yx2i&#10;a5Ut8vwm68DV1gEX3uPq/ZCku4TfNIKHz03jRSCqpMgtpNGlsYpjttuy4uiYbSUfabB/YKGZNHjo&#10;FeqeBUZOTv4BpSV34KEJMw46g6aRXKQ74G3m+W+3eWyZFekuKI63V5n8/4Pln85fHJE1ekeJYRot&#10;ehJ9IG+hJ4uoTmd9gUWPFstCj8uxMt7U2wfg3zwxsG+ZOYo756BrBauR3TzuzCZbBxwfQaruI9R4&#10;DDsFSEB943QERDEIoqNLl6szkQrHxeVmnW+WmOKYm+evbzarVTqDFc/brfPhvQBN4qSkDq1P8Oz8&#10;4EOkw4rnkkQflKwPUqkUuGO1V46cGbbJIX0jup+WKUO6km5Wi9WgwDTnpxB5+v4GoWXAfldSl3R9&#10;LWJF1O2dqVM3BibVMEfKyoxCRu0GFUNf9aNjoz8V1BdU1sHQ3vgccdKC+0FJh61dUv/9xJygRH0w&#10;6M5mvoxShhQsV28WGLhppppmmOEIVdJAyTDdh/R+om4G7tDFRiZ9o90Dk5EytmySfXxe8U1M41T1&#10;6yew+wkAAP//AwBQSwMEFAAGAAgAAAAhAMXz8IPeAAAACQEAAA8AAABkcnMvZG93bnJldi54bWxM&#10;j81OwzAQhO9IvIO1SFwQdSBV/ohTISQQ3KAguLrxNomI18F20/D2LCc47sxo9pt6s9hRzOjD4EjB&#10;1SoBgdQ6M1Cn4O31/rIAEaImo0dHqOAbA2ya05NaV8Yd6QXnbewEl1CotII+xqmSMrQ9Wh1WbkJi&#10;b++81ZFP30nj9ZHL7SivkySTVg/EH3o94V2P7ef2YBUU68f5Izylz+9tth/LeJHPD19eqfOz5fYG&#10;RMQl/oXhF5/RoWGmnTuQCWJUkBclJ1nP1iDYL7I0BbFjIS9zkE0t/y9ofgAAAP//AwBQSwECLQAU&#10;AAYACAAAACEAtoM4kv4AAADhAQAAEwAAAAAAAAAAAAAAAAAAAAAAW0NvbnRlbnRfVHlwZXNdLnht&#10;bFBLAQItABQABgAIAAAAIQA4/SH/1gAAAJQBAAALAAAAAAAAAAAAAAAAAC8BAABfcmVscy8ucmVs&#10;c1BLAQItABQABgAIAAAAIQCKSMIvJQIAAEwEAAAOAAAAAAAAAAAAAAAAAC4CAABkcnMvZTJvRG9j&#10;LnhtbFBLAQItABQABgAIAAAAIQDF8/CD3gAAAAkBAAAPAAAAAAAAAAAAAAAAAH8EAABkcnMvZG93&#10;bnJldi54bWxQSwUGAAAAAAQABADzAAAAigUAAAAA&#10;">
                <v:textbox>
                  <w:txbxContent>
                    <w:p w14:paraId="3C42F16C" w14:textId="0B87A1DE" w:rsidR="00001B1B" w:rsidRPr="006E5F55" w:rsidRDefault="00001B1B" w:rsidP="00001B1B">
                      <w:pPr>
                        <w:pStyle w:val="Heading3"/>
                        <w:numPr>
                          <w:ilvl w:val="0"/>
                          <w:numId w:val="0"/>
                        </w:numPr>
                        <w:ind w:left="720" w:hanging="720"/>
                        <w:rPr>
                          <w:sz w:val="22"/>
                          <w:lang w:val="en-US" w:eastAsia="ko-KR"/>
                        </w:rPr>
                      </w:pPr>
                      <w:bookmarkStart w:id="5" w:name="_Toc535475865"/>
                      <w:r w:rsidRPr="006E5F55">
                        <w:rPr>
                          <w:sz w:val="22"/>
                          <w:lang w:val="en-US" w:eastAsia="ko-KR"/>
                        </w:rPr>
                        <w:t>3.6.3</w:t>
                      </w:r>
                      <w:r w:rsidRPr="006E5F55">
                        <w:rPr>
                          <w:sz w:val="22"/>
                          <w:lang w:val="en-US" w:eastAsia="ko-KR"/>
                        </w:rPr>
                        <w:tab/>
                        <w:t xml:space="preserve">Applicability </w:t>
                      </w:r>
                      <w:r w:rsidRPr="006E5F55">
                        <w:rPr>
                          <w:noProof/>
                          <w:sz w:val="22"/>
                        </w:rPr>
                        <w:t>for SSB Rx beam in intra-band FR2</w:t>
                      </w:r>
                      <w:bookmarkEnd w:id="5"/>
                    </w:p>
                    <w:p w14:paraId="6F348CB4" w14:textId="77777777" w:rsidR="00001B1B" w:rsidRPr="006E5F55" w:rsidRDefault="00001B1B" w:rsidP="00001B1B">
                      <w:pPr>
                        <w:rPr>
                          <w:rFonts w:eastAsia="Malgun Gothic"/>
                          <w:sz w:val="16"/>
                          <w:lang w:eastAsia="ko-KR"/>
                        </w:rPr>
                      </w:pPr>
                      <w:r w:rsidRPr="006E5F55">
                        <w:rPr>
                          <w:rFonts w:eastAsia="?? ??"/>
                          <w:sz w:val="16"/>
                          <w:lang w:eastAsia="ko-KR"/>
                        </w:rPr>
                        <w:t xml:space="preserve">For the requirements in RRC connected state specified in this version of the specification, UE shall assume that the SSBs from the serving cells should have </w:t>
                      </w:r>
                      <w:r w:rsidRPr="006E5F55">
                        <w:rPr>
                          <w:rFonts w:eastAsia="MS Mincho"/>
                          <w:sz w:val="16"/>
                        </w:rPr>
                        <w:t>the same downlink spatial domain transmission filter</w:t>
                      </w:r>
                      <w:r w:rsidRPr="006E5F55">
                        <w:rPr>
                          <w:rFonts w:eastAsia="?? ??"/>
                          <w:sz w:val="16"/>
                          <w:lang w:eastAsia="ko-KR"/>
                        </w:rPr>
                        <w:t xml:space="preserve"> in the same band in FR2. If the SSBs don’t have same </w:t>
                      </w:r>
                      <w:r w:rsidRPr="006E5F55">
                        <w:rPr>
                          <w:rFonts w:eastAsia="MS Mincho"/>
                          <w:sz w:val="16"/>
                        </w:rPr>
                        <w:t xml:space="preserve">downlink </w:t>
                      </w:r>
                      <w:r w:rsidRPr="006E5F55">
                        <w:rPr>
                          <w:rFonts w:eastAsia="?? ??"/>
                          <w:sz w:val="16"/>
                          <w:lang w:eastAsia="ko-KR"/>
                        </w:rPr>
                        <w:t>spatial domain transmission filter the UE is not supposed to satisfy any requirements for SCell.</w:t>
                      </w:r>
                    </w:p>
                    <w:p w14:paraId="1DD6C79D" w14:textId="26FB2358" w:rsidR="00001B1B" w:rsidRPr="006E5F55" w:rsidRDefault="00001B1B">
                      <w:pPr>
                        <w:rPr>
                          <w:sz w:val="16"/>
                        </w:rPr>
                      </w:pPr>
                    </w:p>
                  </w:txbxContent>
                </v:textbox>
                <w10:wrap type="square"/>
              </v:shape>
            </w:pict>
          </mc:Fallback>
        </mc:AlternateContent>
      </w:r>
    </w:p>
    <w:p w14:paraId="04D31DDE" w14:textId="77777777" w:rsidR="0079400C" w:rsidRDefault="0079400C" w:rsidP="00472749">
      <w:pPr>
        <w:rPr>
          <w:rFonts w:asciiTheme="minorHAnsi" w:hAnsiTheme="minorHAnsi" w:cstheme="minorHAnsi"/>
          <w:sz w:val="22"/>
          <w:szCs w:val="22"/>
          <w:lang w:val="en-CA"/>
        </w:rPr>
      </w:pPr>
    </w:p>
    <w:p w14:paraId="75956DA0" w14:textId="0AB26048" w:rsidR="00B11EA8" w:rsidRDefault="00B11EA8" w:rsidP="00472749">
      <w:pPr>
        <w:rPr>
          <w:rFonts w:asciiTheme="minorHAnsi" w:hAnsiTheme="minorHAnsi" w:cstheme="minorHAnsi"/>
          <w:sz w:val="22"/>
          <w:szCs w:val="22"/>
          <w:lang w:val="en-CA"/>
        </w:rPr>
      </w:pPr>
    </w:p>
    <w:p w14:paraId="78246965" w14:textId="27EC2D39" w:rsidR="006E5F55" w:rsidRDefault="006E5F55" w:rsidP="00472749">
      <w:pPr>
        <w:rPr>
          <w:rFonts w:asciiTheme="minorHAnsi" w:hAnsiTheme="minorHAnsi" w:cstheme="minorHAnsi"/>
          <w:sz w:val="22"/>
          <w:szCs w:val="22"/>
          <w:lang w:val="en-CA"/>
        </w:rPr>
      </w:pPr>
    </w:p>
    <w:p w14:paraId="39CB7EBF" w14:textId="5122B2D6" w:rsidR="001B1CCF" w:rsidRDefault="001B1CCF" w:rsidP="00472749">
      <w:pPr>
        <w:rPr>
          <w:rFonts w:asciiTheme="minorHAnsi" w:hAnsiTheme="minorHAnsi" w:cstheme="minorHAnsi"/>
          <w:sz w:val="22"/>
          <w:szCs w:val="22"/>
          <w:lang w:val="en-CA"/>
        </w:rPr>
      </w:pPr>
    </w:p>
    <w:p w14:paraId="3B33AB89" w14:textId="62E571EB" w:rsidR="00812525" w:rsidRPr="00812525" w:rsidRDefault="00812525" w:rsidP="00472749">
      <w:pPr>
        <w:rPr>
          <w:rFonts w:asciiTheme="minorHAnsi" w:hAnsiTheme="minorHAnsi" w:cstheme="minorHAnsi"/>
          <w:sz w:val="22"/>
          <w:szCs w:val="22"/>
          <w:lang w:val="en-CA"/>
        </w:rPr>
      </w:pPr>
      <w:r>
        <w:rPr>
          <w:rFonts w:asciiTheme="minorHAnsi" w:hAnsiTheme="minorHAnsi" w:cstheme="minorHAnsi"/>
          <w:b/>
          <w:sz w:val="22"/>
          <w:szCs w:val="22"/>
          <w:lang w:val="en-CA"/>
        </w:rPr>
        <w:t>Proposal 3:</w:t>
      </w:r>
      <w:r>
        <w:rPr>
          <w:rFonts w:asciiTheme="minorHAnsi" w:hAnsiTheme="minorHAnsi" w:cstheme="minorHAnsi"/>
          <w:sz w:val="22"/>
          <w:szCs w:val="22"/>
          <w:lang w:val="en-CA"/>
        </w:rPr>
        <w:t xml:space="preserve"> Implication of “</w:t>
      </w:r>
      <w:r w:rsidRPr="00812525">
        <w:rPr>
          <w:rFonts w:asciiTheme="minorHAnsi" w:hAnsiTheme="minorHAnsi" w:cstheme="minorHAnsi"/>
          <w:sz w:val="22"/>
          <w:szCs w:val="22"/>
          <w:lang w:val="en-CA"/>
        </w:rPr>
        <w:t>Applicability for SSB Rx beam in intra-band FR2</w:t>
      </w:r>
      <w:r>
        <w:rPr>
          <w:rFonts w:asciiTheme="minorHAnsi" w:hAnsiTheme="minorHAnsi" w:cstheme="minorHAnsi"/>
          <w:sz w:val="22"/>
          <w:szCs w:val="22"/>
          <w:lang w:val="en-CA"/>
        </w:rPr>
        <w:t xml:space="preserve">” on TCI states in use in serving cells shall be further discussed. </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E937C4D" w14:textId="3E429D6C" w:rsidR="001842EE" w:rsidRDefault="000B21F0" w:rsidP="00812525">
      <w:pPr>
        <w:rPr>
          <w:rFonts w:asciiTheme="minorHAnsi" w:hAnsiTheme="minorHAnsi" w:cstheme="minorHAnsi"/>
          <w:sz w:val="22"/>
          <w:szCs w:val="22"/>
          <w:lang w:val="en-CA"/>
        </w:rPr>
      </w:pPr>
      <w:r>
        <w:rPr>
          <w:rFonts w:asciiTheme="minorHAnsi" w:hAnsiTheme="minorHAnsi" w:cstheme="minorHAnsi"/>
          <w:sz w:val="22"/>
          <w:szCs w:val="22"/>
          <w:lang w:val="en-CA"/>
        </w:rPr>
        <w:t>I</w:t>
      </w:r>
      <w:r w:rsidR="00812525">
        <w:rPr>
          <w:rFonts w:asciiTheme="minorHAnsi" w:hAnsiTheme="minorHAnsi" w:cstheme="minorHAnsi"/>
          <w:sz w:val="22"/>
          <w:szCs w:val="22"/>
          <w:lang w:val="en-CA"/>
        </w:rPr>
        <w:t xml:space="preserve">n this contribution we have provided some comments for </w:t>
      </w:r>
      <w:r w:rsidR="00B62E52">
        <w:rPr>
          <w:rFonts w:asciiTheme="minorHAnsi" w:hAnsiTheme="minorHAnsi" w:cstheme="minorHAnsi"/>
          <w:sz w:val="22"/>
          <w:szCs w:val="22"/>
          <w:lang w:val="en-CA"/>
        </w:rPr>
        <w:t xml:space="preserve">the </w:t>
      </w:r>
      <w:r w:rsidR="00812525">
        <w:rPr>
          <w:rFonts w:asciiTheme="minorHAnsi" w:hAnsiTheme="minorHAnsi" w:cstheme="minorHAnsi"/>
          <w:sz w:val="22"/>
          <w:szCs w:val="22"/>
          <w:lang w:val="en-CA"/>
        </w:rPr>
        <w:t>further discussions on TCI state switching. The following proposals are made:</w:t>
      </w:r>
    </w:p>
    <w:p w14:paraId="538DCD59" w14:textId="0E1FAE7F" w:rsidR="00812525" w:rsidRPr="00812525" w:rsidRDefault="00812525" w:rsidP="00812525">
      <w:pPr>
        <w:rPr>
          <w:rFonts w:asciiTheme="minorHAnsi" w:hAnsiTheme="minorHAnsi" w:cstheme="minorHAnsi"/>
          <w:sz w:val="22"/>
          <w:szCs w:val="22"/>
          <w:lang w:val="en-CA"/>
        </w:rPr>
      </w:pPr>
      <w:r>
        <w:rPr>
          <w:rFonts w:asciiTheme="minorHAnsi" w:hAnsiTheme="minorHAnsi" w:cstheme="minorHAnsi"/>
          <w:b/>
          <w:sz w:val="22"/>
          <w:szCs w:val="22"/>
          <w:lang w:val="en-CA"/>
        </w:rPr>
        <w:t>Proposal 1:</w:t>
      </w:r>
      <w:r>
        <w:rPr>
          <w:rFonts w:asciiTheme="minorHAnsi" w:hAnsiTheme="minorHAnsi" w:cstheme="minorHAnsi"/>
          <w:sz w:val="22"/>
          <w:szCs w:val="22"/>
          <w:lang w:val="en-CA"/>
        </w:rPr>
        <w:t xml:space="preserve"> RRC re-configuration of the configurations of active TCI states shall be </w:t>
      </w:r>
      <w:r w:rsidR="00C37212">
        <w:rPr>
          <w:rFonts w:asciiTheme="minorHAnsi" w:hAnsiTheme="minorHAnsi" w:cstheme="minorHAnsi"/>
          <w:sz w:val="22"/>
          <w:szCs w:val="22"/>
          <w:lang w:val="en-CA"/>
        </w:rPr>
        <w:t>viewed</w:t>
      </w:r>
      <w:r>
        <w:rPr>
          <w:rFonts w:asciiTheme="minorHAnsi" w:hAnsiTheme="minorHAnsi" w:cstheme="minorHAnsi"/>
          <w:sz w:val="22"/>
          <w:szCs w:val="22"/>
          <w:lang w:val="en-CA"/>
        </w:rPr>
        <w:t xml:space="preserve"> as an exception. FFS whether delay and interruption requirements are needed. </w:t>
      </w:r>
    </w:p>
    <w:p w14:paraId="40DF6189" w14:textId="759CBB3E" w:rsidR="00B62E52" w:rsidRPr="00812525" w:rsidRDefault="00B62E52" w:rsidP="00B62E52">
      <w:pPr>
        <w:rPr>
          <w:rFonts w:asciiTheme="minorHAnsi" w:hAnsiTheme="minorHAnsi" w:cstheme="minorHAnsi"/>
          <w:sz w:val="22"/>
          <w:szCs w:val="22"/>
          <w:lang w:val="en-CA"/>
        </w:rPr>
      </w:pPr>
      <w:r>
        <w:rPr>
          <w:rFonts w:asciiTheme="minorHAnsi" w:hAnsiTheme="minorHAnsi" w:cstheme="minorHAnsi"/>
          <w:b/>
          <w:sz w:val="22"/>
          <w:szCs w:val="22"/>
          <w:lang w:val="en-CA"/>
        </w:rPr>
        <w:t>Proposal 2:</w:t>
      </w:r>
      <w:r>
        <w:rPr>
          <w:rFonts w:asciiTheme="minorHAnsi" w:hAnsiTheme="minorHAnsi" w:cstheme="minorHAnsi"/>
          <w:sz w:val="22"/>
          <w:szCs w:val="22"/>
          <w:lang w:val="en-CA"/>
        </w:rPr>
        <w:t xml:space="preserve"> Switching to TCI states whose configurations are based on reference signals not yet detected by the UE shall be </w:t>
      </w:r>
      <w:r w:rsidR="00C37212">
        <w:rPr>
          <w:rFonts w:asciiTheme="minorHAnsi" w:hAnsiTheme="minorHAnsi" w:cstheme="minorHAnsi"/>
          <w:sz w:val="22"/>
          <w:szCs w:val="22"/>
          <w:lang w:val="en-CA"/>
        </w:rPr>
        <w:t>viewed</w:t>
      </w:r>
      <w:r>
        <w:rPr>
          <w:rFonts w:asciiTheme="minorHAnsi" w:hAnsiTheme="minorHAnsi" w:cstheme="minorHAnsi"/>
          <w:sz w:val="22"/>
          <w:szCs w:val="22"/>
          <w:lang w:val="en-CA"/>
        </w:rPr>
        <w:t xml:space="preserve"> as an exception. FFS whether delay and interruption requirements are needed.</w:t>
      </w:r>
    </w:p>
    <w:p w14:paraId="6BA2937F" w14:textId="27455E6A" w:rsidR="00812525" w:rsidRPr="00B62E52" w:rsidRDefault="00B62E52" w:rsidP="00812525">
      <w:pPr>
        <w:rPr>
          <w:rFonts w:asciiTheme="minorHAnsi" w:hAnsiTheme="minorHAnsi" w:cstheme="minorHAnsi"/>
          <w:sz w:val="22"/>
          <w:szCs w:val="22"/>
          <w:lang w:val="en-CA"/>
        </w:rPr>
      </w:pPr>
      <w:r>
        <w:rPr>
          <w:rFonts w:asciiTheme="minorHAnsi" w:hAnsiTheme="minorHAnsi" w:cstheme="minorHAnsi"/>
          <w:b/>
          <w:sz w:val="22"/>
          <w:szCs w:val="22"/>
          <w:lang w:val="en-CA"/>
        </w:rPr>
        <w:t>Proposal 3:</w:t>
      </w:r>
      <w:r>
        <w:rPr>
          <w:rFonts w:asciiTheme="minorHAnsi" w:hAnsiTheme="minorHAnsi" w:cstheme="minorHAnsi"/>
          <w:sz w:val="22"/>
          <w:szCs w:val="22"/>
          <w:lang w:val="en-CA"/>
        </w:rPr>
        <w:t xml:space="preserve"> Implication of “</w:t>
      </w:r>
      <w:r w:rsidRPr="00812525">
        <w:rPr>
          <w:rFonts w:asciiTheme="minorHAnsi" w:hAnsiTheme="minorHAnsi" w:cstheme="minorHAnsi"/>
          <w:sz w:val="22"/>
          <w:szCs w:val="22"/>
          <w:lang w:val="en-CA"/>
        </w:rPr>
        <w:t>Applicability for SSB Rx beam in intra-band FR2</w:t>
      </w:r>
      <w:r>
        <w:rPr>
          <w:rFonts w:asciiTheme="minorHAnsi" w:hAnsiTheme="minorHAnsi" w:cstheme="minorHAnsi"/>
          <w:sz w:val="22"/>
          <w:szCs w:val="22"/>
          <w:lang w:val="en-CA"/>
        </w:rPr>
        <w:t xml:space="preserve">” on TCI states in use in serving cells shall be further discussed. </w:t>
      </w:r>
    </w:p>
    <w:p w14:paraId="7765CE1A" w14:textId="4ECA4585"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4BD51CC6" w14:textId="4434F5E5" w:rsidR="007539A3" w:rsidRPr="007539A3" w:rsidRDefault="007539A3" w:rsidP="007539A3">
      <w:pPr>
        <w:numPr>
          <w:ilvl w:val="0"/>
          <w:numId w:val="9"/>
        </w:numPr>
        <w:tabs>
          <w:tab w:val="left" w:pos="851"/>
        </w:tabs>
        <w:rPr>
          <w:rFonts w:ascii="Arial" w:hAnsi="Arial" w:cs="Arial"/>
          <w:sz w:val="22"/>
          <w:szCs w:val="22"/>
          <w:lang w:val="en-CA"/>
        </w:rPr>
      </w:pPr>
      <w:bookmarkStart w:id="6" w:name="_Ref1136697"/>
      <w:bookmarkStart w:id="7" w:name="_Ref517094573"/>
      <w:bookmarkStart w:id="8" w:name="_Ref536781239"/>
      <w:bookmarkStart w:id="9" w:name="_Ref536781427"/>
      <w:r>
        <w:rPr>
          <w:rFonts w:ascii="Arial" w:hAnsi="Arial" w:cs="Arial"/>
          <w:sz w:val="22"/>
          <w:szCs w:val="22"/>
          <w:lang w:val="en-CA"/>
        </w:rPr>
        <w:t>R4-1815924 “</w:t>
      </w:r>
      <w:r w:rsidRPr="00766188">
        <w:rPr>
          <w:rFonts w:ascii="Arial" w:hAnsi="Arial" w:cs="Arial"/>
          <w:sz w:val="22"/>
          <w:szCs w:val="22"/>
          <w:lang w:val="en-CA"/>
        </w:rPr>
        <w:t>RRM Requirements for active TCI state switch</w:t>
      </w:r>
      <w:r>
        <w:rPr>
          <w:rFonts w:ascii="Arial" w:hAnsi="Arial" w:cs="Arial"/>
          <w:sz w:val="22"/>
          <w:szCs w:val="22"/>
          <w:lang w:val="en-CA"/>
        </w:rPr>
        <w:t>”, Qualcomm Incorporated</w:t>
      </w:r>
      <w:bookmarkEnd w:id="6"/>
    </w:p>
    <w:p w14:paraId="3CC4B7BC" w14:textId="24AAE9B9" w:rsidR="00013932" w:rsidRDefault="009E234B" w:rsidP="009E234B">
      <w:pPr>
        <w:numPr>
          <w:ilvl w:val="0"/>
          <w:numId w:val="9"/>
        </w:numPr>
        <w:tabs>
          <w:tab w:val="left" w:pos="851"/>
        </w:tabs>
        <w:rPr>
          <w:rFonts w:ascii="Arial" w:hAnsi="Arial" w:cs="Arial"/>
          <w:sz w:val="22"/>
          <w:szCs w:val="22"/>
          <w:lang w:val="en-CA"/>
        </w:rPr>
      </w:pPr>
      <w:bookmarkStart w:id="10" w:name="_Ref1136721"/>
      <w:r w:rsidRPr="009E234B">
        <w:rPr>
          <w:rFonts w:ascii="Arial" w:hAnsi="Arial" w:cs="Arial"/>
          <w:sz w:val="22"/>
          <w:szCs w:val="22"/>
          <w:lang w:val="en-CA"/>
        </w:rPr>
        <w:t>R4-1816678</w:t>
      </w:r>
      <w:r>
        <w:rPr>
          <w:rFonts w:ascii="Arial" w:hAnsi="Arial" w:cs="Arial"/>
          <w:sz w:val="22"/>
          <w:szCs w:val="22"/>
          <w:lang w:val="en-CA"/>
        </w:rPr>
        <w:t xml:space="preserve"> “</w:t>
      </w:r>
      <w:r w:rsidR="00766188" w:rsidRPr="00766188">
        <w:rPr>
          <w:rFonts w:ascii="Arial" w:hAnsi="Arial" w:cs="Arial"/>
          <w:sz w:val="22"/>
          <w:szCs w:val="22"/>
          <w:lang w:val="en-CA"/>
        </w:rPr>
        <w:t>WF on delay for TCI state switch and SCell activation with multiple TCI states</w:t>
      </w:r>
      <w:r>
        <w:rPr>
          <w:rFonts w:ascii="Arial" w:hAnsi="Arial" w:cs="Arial"/>
          <w:sz w:val="22"/>
          <w:szCs w:val="22"/>
          <w:lang w:val="en-CA"/>
        </w:rPr>
        <w:t>”</w:t>
      </w:r>
      <w:bookmarkEnd w:id="7"/>
      <w:r w:rsidR="00766188">
        <w:rPr>
          <w:rFonts w:ascii="Arial" w:hAnsi="Arial" w:cs="Arial"/>
          <w:sz w:val="22"/>
          <w:szCs w:val="22"/>
          <w:lang w:val="en-CA"/>
        </w:rPr>
        <w:t>, Qualcomm Incorporated</w:t>
      </w:r>
      <w:bookmarkEnd w:id="8"/>
      <w:bookmarkEnd w:id="9"/>
      <w:bookmarkEnd w:id="10"/>
    </w:p>
    <w:sectPr w:rsidR="0001393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D29C7" w14:textId="77777777" w:rsidR="009E459F" w:rsidRDefault="009E459F">
      <w:r>
        <w:separator/>
      </w:r>
    </w:p>
  </w:endnote>
  <w:endnote w:type="continuationSeparator" w:id="0">
    <w:p w14:paraId="1D41FD9F" w14:textId="77777777" w:rsidR="009E459F" w:rsidRDefault="009E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32114" w14:textId="77777777" w:rsidR="009E459F" w:rsidRDefault="009E459F">
      <w:r>
        <w:separator/>
      </w:r>
    </w:p>
  </w:footnote>
  <w:footnote w:type="continuationSeparator" w:id="0">
    <w:p w14:paraId="4A6E9537" w14:textId="77777777" w:rsidR="009E459F" w:rsidRDefault="009E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971D4"/>
    <w:multiLevelType w:val="hybridMultilevel"/>
    <w:tmpl w:val="5ACA4B48"/>
    <w:lvl w:ilvl="0" w:tplc="828EE9C2">
      <w:start w:val="1"/>
      <w:numFmt w:val="bullet"/>
      <w:lvlText w:val="•"/>
      <w:lvlJc w:val="left"/>
      <w:pPr>
        <w:tabs>
          <w:tab w:val="num" w:pos="112"/>
        </w:tabs>
        <w:ind w:left="112" w:hanging="360"/>
      </w:pPr>
      <w:rPr>
        <w:rFonts w:ascii="Arial" w:hAnsi="Arial" w:hint="default"/>
      </w:rPr>
    </w:lvl>
    <w:lvl w:ilvl="1" w:tplc="7E667AF0">
      <w:start w:val="174"/>
      <w:numFmt w:val="bullet"/>
      <w:lvlText w:val="•"/>
      <w:lvlJc w:val="left"/>
      <w:pPr>
        <w:tabs>
          <w:tab w:val="num" w:pos="832"/>
        </w:tabs>
        <w:ind w:left="832" w:hanging="360"/>
      </w:pPr>
      <w:rPr>
        <w:rFonts w:ascii="Arial" w:hAnsi="Arial" w:hint="default"/>
      </w:rPr>
    </w:lvl>
    <w:lvl w:ilvl="2" w:tplc="A5DC6B3A">
      <w:start w:val="174"/>
      <w:numFmt w:val="bullet"/>
      <w:lvlText w:val="•"/>
      <w:lvlJc w:val="left"/>
      <w:pPr>
        <w:tabs>
          <w:tab w:val="num" w:pos="1552"/>
        </w:tabs>
        <w:ind w:left="1552" w:hanging="360"/>
      </w:pPr>
      <w:rPr>
        <w:rFonts w:ascii="Arial" w:hAnsi="Arial" w:hint="default"/>
      </w:rPr>
    </w:lvl>
    <w:lvl w:ilvl="3" w:tplc="28BADA14">
      <w:start w:val="174"/>
      <w:numFmt w:val="bullet"/>
      <w:lvlText w:val="•"/>
      <w:lvlJc w:val="left"/>
      <w:pPr>
        <w:tabs>
          <w:tab w:val="num" w:pos="2272"/>
        </w:tabs>
        <w:ind w:left="2272" w:hanging="360"/>
      </w:pPr>
      <w:rPr>
        <w:rFonts w:ascii="Arial" w:hAnsi="Arial" w:hint="default"/>
      </w:rPr>
    </w:lvl>
    <w:lvl w:ilvl="4" w:tplc="C344BC5C" w:tentative="1">
      <w:start w:val="1"/>
      <w:numFmt w:val="bullet"/>
      <w:lvlText w:val="•"/>
      <w:lvlJc w:val="left"/>
      <w:pPr>
        <w:tabs>
          <w:tab w:val="num" w:pos="2992"/>
        </w:tabs>
        <w:ind w:left="2992" w:hanging="360"/>
      </w:pPr>
      <w:rPr>
        <w:rFonts w:ascii="Arial" w:hAnsi="Arial" w:hint="default"/>
      </w:rPr>
    </w:lvl>
    <w:lvl w:ilvl="5" w:tplc="98E40A08" w:tentative="1">
      <w:start w:val="1"/>
      <w:numFmt w:val="bullet"/>
      <w:lvlText w:val="•"/>
      <w:lvlJc w:val="left"/>
      <w:pPr>
        <w:tabs>
          <w:tab w:val="num" w:pos="3712"/>
        </w:tabs>
        <w:ind w:left="3712" w:hanging="360"/>
      </w:pPr>
      <w:rPr>
        <w:rFonts w:ascii="Arial" w:hAnsi="Arial" w:hint="default"/>
      </w:rPr>
    </w:lvl>
    <w:lvl w:ilvl="6" w:tplc="176E4E34" w:tentative="1">
      <w:start w:val="1"/>
      <w:numFmt w:val="bullet"/>
      <w:lvlText w:val="•"/>
      <w:lvlJc w:val="left"/>
      <w:pPr>
        <w:tabs>
          <w:tab w:val="num" w:pos="4432"/>
        </w:tabs>
        <w:ind w:left="4432" w:hanging="360"/>
      </w:pPr>
      <w:rPr>
        <w:rFonts w:ascii="Arial" w:hAnsi="Arial" w:hint="default"/>
      </w:rPr>
    </w:lvl>
    <w:lvl w:ilvl="7" w:tplc="B2469408" w:tentative="1">
      <w:start w:val="1"/>
      <w:numFmt w:val="bullet"/>
      <w:lvlText w:val="•"/>
      <w:lvlJc w:val="left"/>
      <w:pPr>
        <w:tabs>
          <w:tab w:val="num" w:pos="5152"/>
        </w:tabs>
        <w:ind w:left="5152" w:hanging="360"/>
      </w:pPr>
      <w:rPr>
        <w:rFonts w:ascii="Arial" w:hAnsi="Arial" w:hint="default"/>
      </w:rPr>
    </w:lvl>
    <w:lvl w:ilvl="8" w:tplc="7862AD90" w:tentative="1">
      <w:start w:val="1"/>
      <w:numFmt w:val="bullet"/>
      <w:lvlText w:val="•"/>
      <w:lvlJc w:val="left"/>
      <w:pPr>
        <w:tabs>
          <w:tab w:val="num" w:pos="5872"/>
        </w:tabs>
        <w:ind w:left="5872" w:hanging="360"/>
      </w:pPr>
      <w:rPr>
        <w:rFonts w:ascii="Arial" w:hAnsi="Arial" w:hint="default"/>
      </w:rPr>
    </w:lvl>
  </w:abstractNum>
  <w:abstractNum w:abstractNumId="4" w15:restartNumberingAfterBreak="0">
    <w:nsid w:val="33934E47"/>
    <w:multiLevelType w:val="hybridMultilevel"/>
    <w:tmpl w:val="52BA00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1"/>
  </w:num>
  <w:num w:numId="4">
    <w:abstractNumId w:val="6"/>
  </w:num>
  <w:num w:numId="5">
    <w:abstractNumId w:val="8"/>
  </w:num>
  <w:num w:numId="6">
    <w:abstractNumId w:val="2"/>
  </w:num>
  <w:num w:numId="7">
    <w:abstractNumId w:val="1"/>
  </w:num>
  <w:num w:numId="8">
    <w:abstractNumId w:val="13"/>
  </w:num>
  <w:num w:numId="9">
    <w:abstractNumId w:val="9"/>
  </w:num>
  <w:num w:numId="10">
    <w:abstractNumId w:val="5"/>
  </w:num>
  <w:num w:numId="11">
    <w:abstractNumId w:val="0"/>
  </w:num>
  <w:num w:numId="12">
    <w:abstractNumId w:val="14"/>
  </w:num>
  <w:num w:numId="13">
    <w:abstractNumId w:val="7"/>
  </w:num>
  <w:num w:numId="14">
    <w:abstractNumId w:val="3"/>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B1B"/>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6AA"/>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090F"/>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3E8A"/>
    <w:rsid w:val="0016429C"/>
    <w:rsid w:val="0016528A"/>
    <w:rsid w:val="00165A6F"/>
    <w:rsid w:val="001665A4"/>
    <w:rsid w:val="0016699E"/>
    <w:rsid w:val="00166A54"/>
    <w:rsid w:val="00166D73"/>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1CCF"/>
    <w:rsid w:val="001B27AA"/>
    <w:rsid w:val="001B2F69"/>
    <w:rsid w:val="001B33A8"/>
    <w:rsid w:val="001B3484"/>
    <w:rsid w:val="001B3F05"/>
    <w:rsid w:val="001B4E1C"/>
    <w:rsid w:val="001B508E"/>
    <w:rsid w:val="001B51E2"/>
    <w:rsid w:val="001B5CC6"/>
    <w:rsid w:val="001B6559"/>
    <w:rsid w:val="001C046A"/>
    <w:rsid w:val="001C0479"/>
    <w:rsid w:val="001C0535"/>
    <w:rsid w:val="001C0DDC"/>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248"/>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2371"/>
    <w:rsid w:val="002239B0"/>
    <w:rsid w:val="002241A5"/>
    <w:rsid w:val="00224D6A"/>
    <w:rsid w:val="0022547F"/>
    <w:rsid w:val="00225680"/>
    <w:rsid w:val="00226602"/>
    <w:rsid w:val="00226610"/>
    <w:rsid w:val="00226DDB"/>
    <w:rsid w:val="00227498"/>
    <w:rsid w:val="0023025C"/>
    <w:rsid w:val="0023076F"/>
    <w:rsid w:val="002308DD"/>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C63"/>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637"/>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6CE"/>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452"/>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2749"/>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E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08A"/>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C0F"/>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5F55"/>
    <w:rsid w:val="006E6038"/>
    <w:rsid w:val="006E6E9F"/>
    <w:rsid w:val="006E7030"/>
    <w:rsid w:val="006F0235"/>
    <w:rsid w:val="006F137A"/>
    <w:rsid w:val="006F21DC"/>
    <w:rsid w:val="006F2944"/>
    <w:rsid w:val="006F2C29"/>
    <w:rsid w:val="006F390D"/>
    <w:rsid w:val="006F6047"/>
    <w:rsid w:val="006F618C"/>
    <w:rsid w:val="006F62AA"/>
    <w:rsid w:val="006F6CEC"/>
    <w:rsid w:val="007006CE"/>
    <w:rsid w:val="007018A8"/>
    <w:rsid w:val="00701C17"/>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12A"/>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9A3"/>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00C"/>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1EFD"/>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A96"/>
    <w:rsid w:val="00805ED6"/>
    <w:rsid w:val="0080618C"/>
    <w:rsid w:val="008068E8"/>
    <w:rsid w:val="00806C4B"/>
    <w:rsid w:val="008079A6"/>
    <w:rsid w:val="00810537"/>
    <w:rsid w:val="00811A9C"/>
    <w:rsid w:val="00811ACB"/>
    <w:rsid w:val="00812140"/>
    <w:rsid w:val="00812525"/>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E1B"/>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002"/>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67F20"/>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975"/>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59F"/>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09C"/>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1EA8"/>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5B"/>
    <w:rsid w:val="00B270A4"/>
    <w:rsid w:val="00B27FA1"/>
    <w:rsid w:val="00B30150"/>
    <w:rsid w:val="00B31EA9"/>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E52"/>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D28"/>
    <w:rsid w:val="00B8120C"/>
    <w:rsid w:val="00B813D5"/>
    <w:rsid w:val="00B81972"/>
    <w:rsid w:val="00B81A48"/>
    <w:rsid w:val="00B8215A"/>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29F3"/>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1C97"/>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212"/>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3BC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40BB"/>
    <w:rsid w:val="00D048C4"/>
    <w:rsid w:val="00D04AFA"/>
    <w:rsid w:val="00D0512B"/>
    <w:rsid w:val="00D05C88"/>
    <w:rsid w:val="00D06452"/>
    <w:rsid w:val="00D06496"/>
    <w:rsid w:val="00D06F9A"/>
    <w:rsid w:val="00D072D3"/>
    <w:rsid w:val="00D072E6"/>
    <w:rsid w:val="00D07A14"/>
    <w:rsid w:val="00D1060B"/>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59F9"/>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68A1"/>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CAE"/>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2C9B"/>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4437860">
      <w:bodyDiv w:val="1"/>
      <w:marLeft w:val="0"/>
      <w:marRight w:val="0"/>
      <w:marTop w:val="0"/>
      <w:marBottom w:val="0"/>
      <w:divBdr>
        <w:top w:val="none" w:sz="0" w:space="0" w:color="auto"/>
        <w:left w:val="none" w:sz="0" w:space="0" w:color="auto"/>
        <w:bottom w:val="none" w:sz="0" w:space="0" w:color="auto"/>
        <w:right w:val="none" w:sz="0" w:space="0" w:color="auto"/>
      </w:divBdr>
      <w:divsChild>
        <w:div w:id="1680230395">
          <w:marLeft w:val="360"/>
          <w:marRight w:val="0"/>
          <w:marTop w:val="200"/>
          <w:marBottom w:val="0"/>
          <w:divBdr>
            <w:top w:val="none" w:sz="0" w:space="0" w:color="auto"/>
            <w:left w:val="none" w:sz="0" w:space="0" w:color="auto"/>
            <w:bottom w:val="none" w:sz="0" w:space="0" w:color="auto"/>
            <w:right w:val="none" w:sz="0" w:space="0" w:color="auto"/>
          </w:divBdr>
        </w:div>
        <w:div w:id="444467056">
          <w:marLeft w:val="1080"/>
          <w:marRight w:val="0"/>
          <w:marTop w:val="100"/>
          <w:marBottom w:val="0"/>
          <w:divBdr>
            <w:top w:val="none" w:sz="0" w:space="0" w:color="auto"/>
            <w:left w:val="none" w:sz="0" w:space="0" w:color="auto"/>
            <w:bottom w:val="none" w:sz="0" w:space="0" w:color="auto"/>
            <w:right w:val="none" w:sz="0" w:space="0" w:color="auto"/>
          </w:divBdr>
        </w:div>
        <w:div w:id="1972204815">
          <w:marLeft w:val="1080"/>
          <w:marRight w:val="0"/>
          <w:marTop w:val="100"/>
          <w:marBottom w:val="0"/>
          <w:divBdr>
            <w:top w:val="none" w:sz="0" w:space="0" w:color="auto"/>
            <w:left w:val="none" w:sz="0" w:space="0" w:color="auto"/>
            <w:bottom w:val="none" w:sz="0" w:space="0" w:color="auto"/>
            <w:right w:val="none" w:sz="0" w:space="0" w:color="auto"/>
          </w:divBdr>
        </w:div>
        <w:div w:id="1143352316">
          <w:marLeft w:val="1800"/>
          <w:marRight w:val="0"/>
          <w:marTop w:val="100"/>
          <w:marBottom w:val="0"/>
          <w:divBdr>
            <w:top w:val="none" w:sz="0" w:space="0" w:color="auto"/>
            <w:left w:val="none" w:sz="0" w:space="0" w:color="auto"/>
            <w:bottom w:val="none" w:sz="0" w:space="0" w:color="auto"/>
            <w:right w:val="none" w:sz="0" w:space="0" w:color="auto"/>
          </w:divBdr>
        </w:div>
        <w:div w:id="412315387">
          <w:marLeft w:val="1800"/>
          <w:marRight w:val="0"/>
          <w:marTop w:val="100"/>
          <w:marBottom w:val="0"/>
          <w:divBdr>
            <w:top w:val="none" w:sz="0" w:space="0" w:color="auto"/>
            <w:left w:val="none" w:sz="0" w:space="0" w:color="auto"/>
            <w:bottom w:val="none" w:sz="0" w:space="0" w:color="auto"/>
            <w:right w:val="none" w:sz="0" w:space="0" w:color="auto"/>
          </w:divBdr>
        </w:div>
        <w:div w:id="1389913995">
          <w:marLeft w:val="2520"/>
          <w:marRight w:val="0"/>
          <w:marTop w:val="100"/>
          <w:marBottom w:val="0"/>
          <w:divBdr>
            <w:top w:val="none" w:sz="0" w:space="0" w:color="auto"/>
            <w:left w:val="none" w:sz="0" w:space="0" w:color="auto"/>
            <w:bottom w:val="none" w:sz="0" w:space="0" w:color="auto"/>
            <w:right w:val="none" w:sz="0" w:space="0" w:color="auto"/>
          </w:divBdr>
        </w:div>
        <w:div w:id="2065643318">
          <w:marLeft w:val="360"/>
          <w:marRight w:val="0"/>
          <w:marTop w:val="2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1C847-13F8-46FA-B533-61429FB0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2019-02-15T09:33:00Z</dcterms:created>
  <dcterms:modified xsi:type="dcterms:W3CDTF">2019-02-15T15:33:00Z</dcterms:modified>
</cp:coreProperties>
</file>